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9"/>
        <w:ind w:right="210"/>
        <w:outlineLvl w:val="9"/>
        <w:rPr>
          <w:rFonts w:ascii="微软雅黑" w:hAnsi="微软雅黑" w:eastAsia="微软雅黑"/>
        </w:rPr>
      </w:pPr>
    </w:p>
    <w:p>
      <w:pPr>
        <w:pStyle w:val="9"/>
        <w:ind w:right="210"/>
        <w:outlineLvl w:val="9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全国大学英语四、六级考试（CET）候补功能</w:t>
      </w:r>
    </w:p>
    <w:p/>
    <w:p/>
    <w:p>
      <w:pPr>
        <w:widowControl/>
        <w:jc w:val="left"/>
      </w:pPr>
      <w:r>
        <w:br w:type="page"/>
      </w:r>
    </w:p>
    <w:p>
      <w:pPr>
        <w:pStyle w:val="19"/>
        <w:ind w:firstLine="0" w:firstLineChars="0"/>
        <w:outlineLvl w:val="0"/>
        <w:rPr>
          <w:rStyle w:val="13"/>
          <w:rFonts w:ascii="黑体" w:hAnsi="黑体" w:eastAsia="黑体"/>
          <w:sz w:val="21"/>
          <w:szCs w:val="21"/>
        </w:rPr>
      </w:pPr>
      <w:bookmarkStart w:id="0" w:name="_Toc492386029"/>
      <w:r>
        <w:rPr>
          <w:rStyle w:val="13"/>
          <w:rFonts w:hint="eastAsia" w:ascii="黑体" w:hAnsi="黑体" w:eastAsia="黑体"/>
          <w:sz w:val="28"/>
          <w:szCs w:val="28"/>
        </w:rPr>
        <w:t>候补报名流程</w:t>
      </w:r>
      <w:bookmarkEnd w:id="0"/>
    </w:p>
    <w:p>
      <w:pPr>
        <w:pStyle w:val="19"/>
        <w:numPr>
          <w:ilvl w:val="0"/>
          <w:numId w:val="1"/>
        </w:numPr>
        <w:ind w:left="0" w:firstLine="0" w:firstLineChars="0"/>
        <w:outlineLvl w:val="1"/>
        <w:rPr>
          <w:rFonts w:ascii="微软雅黑" w:hAnsi="微软雅黑"/>
          <w:bCs/>
          <w:sz w:val="21"/>
          <w:szCs w:val="21"/>
        </w:rPr>
      </w:pPr>
      <w:r>
        <w:rPr>
          <w:rFonts w:hint="eastAsia" w:ascii="微软雅黑" w:hAnsi="微软雅黑"/>
          <w:bCs/>
          <w:sz w:val="21"/>
          <w:szCs w:val="21"/>
        </w:rPr>
        <w:t>登录CET报名网站：</w:t>
      </w:r>
    </w:p>
    <w:p>
      <w:pPr>
        <w:pStyle w:val="19"/>
        <w:ind w:firstLineChars="0"/>
        <w:rPr>
          <w:rFonts w:ascii="微软雅黑" w:hAnsi="微软雅黑"/>
          <w:bCs/>
          <w:sz w:val="21"/>
          <w:szCs w:val="21"/>
        </w:rPr>
      </w:pPr>
      <w:r>
        <w:rPr>
          <w:rFonts w:hint="eastAsia" w:ascii="微软雅黑" w:hAnsi="微软雅黑"/>
          <w:bCs/>
          <w:sz w:val="21"/>
          <w:szCs w:val="21"/>
        </w:rPr>
        <w:t>公　网：cet-bm.neea.cn</w:t>
      </w:r>
    </w:p>
    <w:p>
      <w:pPr>
        <w:pStyle w:val="19"/>
        <w:ind w:firstLineChars="0"/>
        <w:rPr>
          <w:rFonts w:ascii="微软雅黑" w:hAnsi="微软雅黑"/>
          <w:bCs/>
          <w:sz w:val="21"/>
          <w:szCs w:val="21"/>
        </w:rPr>
      </w:pPr>
      <w:r>
        <w:rPr>
          <w:rFonts w:hint="eastAsia" w:ascii="微软雅黑" w:hAnsi="微软雅黑"/>
          <w:bCs/>
          <w:sz w:val="21"/>
          <w:szCs w:val="21"/>
        </w:rPr>
        <w:t>教育网：cet-bm.neea.edu.cn</w:t>
      </w:r>
    </w:p>
    <w:p>
      <w:pPr>
        <w:pStyle w:val="19"/>
        <w:ind w:left="2" w:leftChars="1"/>
        <w:rPr>
          <w:rFonts w:ascii="微软雅黑" w:hAnsi="微软雅黑"/>
          <w:sz w:val="21"/>
          <w:szCs w:val="21"/>
        </w:rPr>
      </w:pPr>
      <w:r>
        <w:rPr>
          <w:rFonts w:ascii="微软雅黑" w:hAnsi="微软雅黑"/>
          <w:sz w:val="21"/>
          <w:szCs w:val="21"/>
        </w:rPr>
        <w:t>建议浏览器：火狐浏览器、谷歌浏览器、IE9+、360浏览器（选择极速模式）</w:t>
      </w:r>
    </w:p>
    <w:p>
      <w:pPr>
        <w:pStyle w:val="19"/>
        <w:ind w:left="2" w:leftChars="1"/>
        <w:rPr>
          <w:rStyle w:val="13"/>
          <w:rFonts w:ascii="微软雅黑" w:hAnsi="微软雅黑"/>
          <w:sz w:val="21"/>
          <w:szCs w:val="21"/>
        </w:rPr>
      </w:pPr>
      <w:r>
        <w:rPr>
          <w:rFonts w:hint="eastAsia" w:ascii="微软雅黑" w:hAnsi="微软雅黑"/>
          <w:sz w:val="21"/>
          <w:szCs w:val="21"/>
        </w:rPr>
        <w:t>点击进入报名：</w:t>
      </w:r>
    </w:p>
    <w:p>
      <w:pPr>
        <w:jc w:val="center"/>
        <w:rPr>
          <w:rFonts w:ascii="微软雅黑" w:hAnsi="微软雅黑"/>
          <w:sz w:val="21"/>
          <w:szCs w:val="21"/>
        </w:rPr>
      </w:pPr>
      <w:r>
        <w:drawing>
          <wp:inline distT="0" distB="0" distL="0" distR="0">
            <wp:extent cx="6840220" cy="4486275"/>
            <wp:effectExtent l="0" t="0" r="0" b="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448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微软雅黑" w:hAnsi="微软雅黑"/>
          <w:sz w:val="21"/>
          <w:szCs w:val="21"/>
        </w:rPr>
      </w:pPr>
      <w:r>
        <w:rPr>
          <w:rFonts w:hint="eastAsia" w:ascii="微软雅黑" w:hAnsi="微软雅黑"/>
          <w:sz w:val="21"/>
          <w:szCs w:val="21"/>
        </w:rPr>
        <w:t>填写考生账号和密码：</w:t>
      </w:r>
    </w:p>
    <w:p>
      <w:pPr>
        <w:jc w:val="center"/>
        <w:rPr>
          <w:rFonts w:ascii="微软雅黑" w:hAnsi="微软雅黑"/>
          <w:sz w:val="21"/>
          <w:szCs w:val="21"/>
        </w:rPr>
      </w:pPr>
      <w:r>
        <w:drawing>
          <wp:inline distT="0" distB="0" distL="114300" distR="114300">
            <wp:extent cx="6840220" cy="2153920"/>
            <wp:effectExtent l="0" t="0" r="17780" b="17780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215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9"/>
        <w:numPr>
          <w:ilvl w:val="0"/>
          <w:numId w:val="1"/>
        </w:numPr>
        <w:ind w:left="0" w:firstLine="0" w:firstLineChars="0"/>
        <w:outlineLvl w:val="1"/>
        <w:rPr>
          <w:rFonts w:ascii="微软雅黑" w:hAnsi="微软雅黑"/>
          <w:bCs/>
          <w:sz w:val="21"/>
          <w:szCs w:val="21"/>
        </w:rPr>
      </w:pPr>
      <w:r>
        <w:rPr>
          <w:rFonts w:hint="eastAsia" w:ascii="微软雅黑" w:hAnsi="微软雅黑"/>
          <w:bCs/>
          <w:sz w:val="21"/>
          <w:szCs w:val="21"/>
        </w:rPr>
        <w:t>进入登录报名系统界面，点击“开始报名”：</w:t>
      </w:r>
    </w:p>
    <w:p>
      <w:pPr>
        <w:jc w:val="center"/>
        <w:rPr>
          <w:rFonts w:ascii="微软雅黑" w:hAnsi="微软雅黑"/>
          <w:sz w:val="21"/>
          <w:szCs w:val="21"/>
        </w:rPr>
      </w:pPr>
      <w:r>
        <w:drawing>
          <wp:inline distT="0" distB="0" distL="114300" distR="114300">
            <wp:extent cx="6837045" cy="2023745"/>
            <wp:effectExtent l="0" t="0" r="1905" b="1460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37045" cy="202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9"/>
        <w:numPr>
          <w:ilvl w:val="0"/>
          <w:numId w:val="1"/>
        </w:numPr>
        <w:ind w:left="0" w:firstLine="0" w:firstLineChars="0"/>
        <w:outlineLvl w:val="1"/>
        <w:rPr>
          <w:rFonts w:ascii="微软雅黑" w:hAnsi="微软雅黑"/>
          <w:bCs/>
          <w:sz w:val="21"/>
          <w:szCs w:val="21"/>
        </w:rPr>
      </w:pPr>
      <w:r>
        <w:rPr>
          <w:rFonts w:hint="eastAsia" w:ascii="微软雅黑" w:hAnsi="微软雅黑"/>
          <w:bCs/>
          <w:sz w:val="21"/>
          <w:szCs w:val="21"/>
        </w:rPr>
        <w:t>阅读并勾选报名协议，点击“同意”：</w:t>
      </w:r>
    </w:p>
    <w:p>
      <w:pPr>
        <w:jc w:val="center"/>
        <w:rPr>
          <w:rFonts w:ascii="微软雅黑" w:hAnsi="微软雅黑"/>
          <w:sz w:val="21"/>
          <w:szCs w:val="21"/>
        </w:rPr>
      </w:pPr>
      <w:r>
        <w:drawing>
          <wp:inline distT="0" distB="0" distL="114300" distR="114300">
            <wp:extent cx="6833870" cy="6140450"/>
            <wp:effectExtent l="0" t="0" r="5080" b="12700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33870" cy="614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9"/>
        <w:numPr>
          <w:ilvl w:val="0"/>
          <w:numId w:val="1"/>
        </w:numPr>
        <w:ind w:left="0" w:firstLine="0" w:firstLineChars="0"/>
        <w:outlineLvl w:val="1"/>
        <w:rPr>
          <w:rFonts w:ascii="微软雅黑" w:hAnsi="微软雅黑"/>
          <w:bCs/>
          <w:sz w:val="21"/>
          <w:szCs w:val="21"/>
        </w:rPr>
      </w:pPr>
      <w:r>
        <w:rPr>
          <w:rFonts w:hint="eastAsia" w:ascii="微软雅黑" w:hAnsi="微软雅黑"/>
          <w:bCs/>
          <w:sz w:val="21"/>
          <w:szCs w:val="21"/>
        </w:rPr>
        <w:t>进入资格审核界面，输入三项必填项：证件类型、证件号码、姓名，点击“查询”：</w:t>
      </w:r>
    </w:p>
    <w:p>
      <w:pPr>
        <w:jc w:val="center"/>
        <w:rPr>
          <w:rFonts w:ascii="微软雅黑" w:hAnsi="微软雅黑"/>
          <w:sz w:val="21"/>
          <w:szCs w:val="21"/>
        </w:rPr>
      </w:pPr>
      <w:r>
        <w:drawing>
          <wp:inline distT="0" distB="0" distL="114300" distR="114300">
            <wp:extent cx="6826250" cy="2656840"/>
            <wp:effectExtent l="0" t="0" r="12700" b="10160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26250" cy="265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6833235" cy="2610485"/>
            <wp:effectExtent l="0" t="0" r="5715" b="18415"/>
            <wp:docPr id="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33235" cy="2610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6837680" cy="3218815"/>
            <wp:effectExtent l="0" t="0" r="1270" b="635"/>
            <wp:docPr id="1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837680" cy="321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微软雅黑" w:hAnsi="微软雅黑"/>
          <w:sz w:val="21"/>
          <w:szCs w:val="21"/>
        </w:rPr>
      </w:pPr>
      <w:r>
        <w:drawing>
          <wp:inline distT="0" distB="0" distL="114300" distR="114300">
            <wp:extent cx="6834505" cy="3011805"/>
            <wp:effectExtent l="0" t="0" r="4445" b="17145"/>
            <wp:docPr id="1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834505" cy="301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9"/>
        <w:numPr>
          <w:ilvl w:val="0"/>
          <w:numId w:val="1"/>
        </w:numPr>
        <w:ind w:left="0" w:firstLine="0" w:firstLineChars="0"/>
        <w:outlineLvl w:val="1"/>
        <w:rPr>
          <w:rFonts w:ascii="微软雅黑" w:hAnsi="微软雅黑"/>
          <w:bCs/>
          <w:sz w:val="21"/>
          <w:szCs w:val="21"/>
        </w:rPr>
      </w:pPr>
      <w:r>
        <w:rPr>
          <w:rFonts w:hint="eastAsia" w:ascii="微软雅黑" w:hAnsi="微软雅黑"/>
          <w:bCs/>
          <w:sz w:val="21"/>
          <w:szCs w:val="21"/>
        </w:rPr>
        <w:t>进入资格信息确认页面，确认学籍信息、资格信息正确：</w:t>
      </w:r>
    </w:p>
    <w:p>
      <w:pPr>
        <w:pStyle w:val="19"/>
        <w:ind w:firstLine="0" w:firstLineChars="0"/>
        <w:jc w:val="center"/>
        <w:rPr>
          <w:rFonts w:ascii="微软雅黑" w:hAnsi="微软雅黑"/>
          <w:sz w:val="21"/>
          <w:szCs w:val="21"/>
        </w:rPr>
      </w:pPr>
      <w:r>
        <w:drawing>
          <wp:inline distT="0" distB="0" distL="114300" distR="114300">
            <wp:extent cx="6833235" cy="5858510"/>
            <wp:effectExtent l="0" t="0" r="5715" b="8890"/>
            <wp:docPr id="18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833235" cy="5858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9"/>
        <w:ind w:firstLine="0" w:firstLineChars="0"/>
        <w:rPr>
          <w:rFonts w:ascii="微软雅黑" w:hAnsi="微软雅黑"/>
          <w:sz w:val="21"/>
          <w:szCs w:val="21"/>
        </w:rPr>
      </w:pPr>
    </w:p>
    <w:p>
      <w:pPr>
        <w:pStyle w:val="19"/>
        <w:ind w:firstLine="0" w:firstLineChars="0"/>
        <w:rPr>
          <w:rFonts w:ascii="微软雅黑" w:hAnsi="微软雅黑"/>
          <w:sz w:val="21"/>
          <w:szCs w:val="21"/>
        </w:rPr>
      </w:pPr>
      <w:r>
        <w:rPr>
          <w:rFonts w:hint="eastAsia" w:ascii="微软雅黑" w:hAnsi="微软雅黑"/>
          <w:sz w:val="21"/>
          <w:szCs w:val="21"/>
        </w:rPr>
        <w:t>检查学籍信息与资格信息无误后，勾选确认，点击“保存并继续”：</w:t>
      </w:r>
    </w:p>
    <w:p>
      <w:pPr>
        <w:pStyle w:val="19"/>
        <w:ind w:firstLine="0" w:firstLineChars="0"/>
        <w:jc w:val="center"/>
      </w:pPr>
      <w:r>
        <w:drawing>
          <wp:inline distT="0" distB="0" distL="114300" distR="114300">
            <wp:extent cx="6833235" cy="6026150"/>
            <wp:effectExtent l="0" t="0" r="5715" b="12700"/>
            <wp:docPr id="19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0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833235" cy="602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9"/>
        <w:ind w:firstLine="0" w:firstLineChars="0"/>
      </w:pPr>
      <w:r>
        <w:rPr>
          <w:rFonts w:hint="eastAsia" w:ascii="微软雅黑" w:hAnsi="微软雅黑"/>
          <w:sz w:val="21"/>
          <w:szCs w:val="21"/>
        </w:rPr>
        <w:t>弹出再次确认页面，确认自己的手机号码是否正确，确认正确的话，点击“确定”</w:t>
      </w:r>
      <w:r>
        <w:rPr>
          <w:rFonts w:hint="eastAsia"/>
        </w:rPr>
        <w:t>：</w:t>
      </w:r>
    </w:p>
    <w:p>
      <w:pPr>
        <w:pStyle w:val="19"/>
        <w:ind w:firstLine="0" w:firstLineChars="0"/>
        <w:jc w:val="center"/>
      </w:pPr>
      <w:r>
        <w:drawing>
          <wp:inline distT="0" distB="0" distL="114300" distR="114300">
            <wp:extent cx="6835775" cy="6164580"/>
            <wp:effectExtent l="0" t="0" r="3175" b="7620"/>
            <wp:docPr id="20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835775" cy="6164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9"/>
        <w:ind w:firstLine="0" w:firstLineChars="0"/>
      </w:pPr>
      <w:r>
        <w:rPr>
          <w:rFonts w:hint="eastAsia" w:ascii="微软雅黑" w:hAnsi="微软雅黑"/>
          <w:sz w:val="21"/>
          <w:szCs w:val="21"/>
        </w:rPr>
        <w:t>再次弹出学籍确认信息，确认学籍正确，点击“确定”</w:t>
      </w:r>
      <w:r>
        <w:rPr>
          <w:rFonts w:hint="eastAsia"/>
        </w:rPr>
        <w:t>：</w:t>
      </w:r>
    </w:p>
    <w:p>
      <w:pPr>
        <w:pStyle w:val="19"/>
        <w:ind w:firstLine="0" w:firstLineChars="0"/>
      </w:pPr>
    </w:p>
    <w:p>
      <w:pPr>
        <w:jc w:val="center"/>
        <w:rPr>
          <w:rFonts w:ascii="微软雅黑" w:hAnsi="微软雅黑"/>
          <w:sz w:val="21"/>
          <w:szCs w:val="21"/>
        </w:rPr>
      </w:pPr>
      <w:r>
        <w:rPr>
          <w:rFonts w:ascii="微软雅黑" w:hAnsi="微软雅黑"/>
          <w:sz w:val="21"/>
          <w:szCs w:val="21"/>
        </w:rPr>
        <w:drawing>
          <wp:inline distT="0" distB="0" distL="0" distR="0">
            <wp:extent cx="5466715" cy="3467100"/>
            <wp:effectExtent l="0" t="0" r="635" b="0"/>
            <wp:docPr id="2" name="图片 7" descr="C:\Users\neescsr046\AppData\Roaming\feiq\RichOle\4113533648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7" descr="C:\Users\neescsr046\AppData\Roaming\feiq\RichOle\4113533648.bmp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68843" cy="34683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微软雅黑" w:hAnsi="微软雅黑"/>
          <w:sz w:val="21"/>
          <w:szCs w:val="21"/>
        </w:rPr>
      </w:pPr>
      <w:r>
        <w:rPr>
          <w:rFonts w:ascii="微软雅黑" w:hAnsi="微软雅黑"/>
          <w:sz w:val="21"/>
          <w:szCs w:val="21"/>
        </w:rPr>
        <w:t>提示</w:t>
      </w:r>
      <w:r>
        <w:rPr>
          <w:rFonts w:hint="eastAsia" w:ascii="微软雅黑" w:hAnsi="微软雅黑"/>
          <w:sz w:val="21"/>
          <w:szCs w:val="21"/>
        </w:rPr>
        <w:t>“</w:t>
      </w:r>
      <w:r>
        <w:rPr>
          <w:rFonts w:ascii="微软雅黑" w:hAnsi="微软雅黑"/>
          <w:sz w:val="21"/>
          <w:szCs w:val="21"/>
        </w:rPr>
        <w:t>保存</w:t>
      </w:r>
      <w:r>
        <w:rPr>
          <w:rFonts w:hint="eastAsia" w:ascii="微软雅黑" w:hAnsi="微软雅黑"/>
          <w:sz w:val="21"/>
          <w:szCs w:val="21"/>
        </w:rPr>
        <w:t>成功”。进入笔试报名界面：</w:t>
      </w:r>
    </w:p>
    <w:p>
      <w:pPr>
        <w:jc w:val="center"/>
        <w:rPr>
          <w:rFonts w:ascii="微软雅黑" w:hAnsi="微软雅黑"/>
          <w:sz w:val="21"/>
          <w:szCs w:val="21"/>
        </w:rPr>
      </w:pPr>
    </w:p>
    <w:p>
      <w:pPr>
        <w:rPr>
          <w:rFonts w:ascii="微软雅黑" w:hAnsi="微软雅黑"/>
          <w:sz w:val="21"/>
          <w:szCs w:val="21"/>
        </w:rPr>
      </w:pPr>
    </w:p>
    <w:p>
      <w:pPr>
        <w:jc w:val="center"/>
        <w:rPr>
          <w:rFonts w:ascii="微软雅黑" w:hAnsi="微软雅黑"/>
          <w:sz w:val="21"/>
          <w:szCs w:val="21"/>
        </w:rPr>
      </w:pPr>
      <w:r>
        <w:drawing>
          <wp:inline distT="0" distB="0" distL="114300" distR="114300">
            <wp:extent cx="6833870" cy="5288280"/>
            <wp:effectExtent l="0" t="0" r="5080" b="7620"/>
            <wp:docPr id="22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833870" cy="528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9"/>
        <w:numPr>
          <w:ilvl w:val="0"/>
          <w:numId w:val="1"/>
        </w:numPr>
        <w:ind w:left="0" w:firstLine="0" w:firstLineChars="0"/>
        <w:outlineLvl w:val="1"/>
        <w:rPr>
          <w:rFonts w:ascii="微软雅黑" w:hAnsi="微软雅黑"/>
          <w:bCs/>
          <w:sz w:val="21"/>
          <w:szCs w:val="21"/>
        </w:rPr>
      </w:pPr>
      <w:r>
        <w:rPr>
          <w:rFonts w:hint="eastAsia" w:ascii="微软雅黑" w:hAnsi="微软雅黑"/>
          <w:bCs/>
          <w:sz w:val="21"/>
          <w:szCs w:val="21"/>
        </w:rPr>
        <w:t>选择笔试科目进行候补：</w:t>
      </w:r>
    </w:p>
    <w:p>
      <w:pPr>
        <w:pStyle w:val="19"/>
        <w:rPr>
          <w:rFonts w:ascii="微软雅黑" w:hAnsi="微软雅黑"/>
          <w:sz w:val="21"/>
          <w:szCs w:val="21"/>
        </w:rPr>
      </w:pPr>
      <w:r>
        <w:rPr>
          <w:rFonts w:hint="eastAsia" w:ascii="微软雅黑" w:hAnsi="微软雅黑"/>
          <w:b/>
          <w:sz w:val="21"/>
          <w:szCs w:val="21"/>
        </w:rPr>
        <w:t>注：同级别科目仅能候补一科。</w:t>
      </w:r>
      <w:r>
        <w:rPr>
          <w:rFonts w:hint="eastAsia" w:ascii="微软雅黑" w:hAnsi="微软雅黑"/>
          <w:sz w:val="21"/>
          <w:szCs w:val="21"/>
        </w:rPr>
        <w:t>如英语四级与日语四级无法同时候补。</w:t>
      </w:r>
    </w:p>
    <w:p>
      <w:pPr>
        <w:jc w:val="center"/>
      </w:pPr>
      <w:r>
        <w:drawing>
          <wp:inline distT="0" distB="0" distL="114300" distR="114300">
            <wp:extent cx="6833235" cy="3827780"/>
            <wp:effectExtent l="0" t="0" r="5715" b="1270"/>
            <wp:docPr id="23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4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833235" cy="382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</w:pPr>
      <w:r>
        <w:rPr>
          <w:rFonts w:hint="eastAsia" w:ascii="微软雅黑" w:hAnsi="微软雅黑"/>
          <w:sz w:val="21"/>
          <w:szCs w:val="21"/>
        </w:rPr>
        <w:t>考生选择自己需要候补的校区和科目，点击“提交候补”按钮</w:t>
      </w:r>
      <w:r>
        <w:rPr>
          <w:rFonts w:hint="eastAsia"/>
        </w:rPr>
        <w:t>：</w:t>
      </w:r>
    </w:p>
    <w:p>
      <w:pPr>
        <w:jc w:val="center"/>
      </w:pPr>
      <w:r>
        <w:drawing>
          <wp:inline distT="0" distB="0" distL="114300" distR="114300">
            <wp:extent cx="6839585" cy="2279650"/>
            <wp:effectExtent l="0" t="0" r="18415" b="6350"/>
            <wp:docPr id="24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5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839585" cy="227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</w:pPr>
      <w:r>
        <w:rPr>
          <w:rFonts w:hint="eastAsia" w:ascii="微软雅黑" w:hAnsi="微软雅黑"/>
          <w:sz w:val="21"/>
          <w:szCs w:val="21"/>
        </w:rPr>
        <w:t>弹出确认提示，点击“确定”按钮</w:t>
      </w:r>
      <w:r>
        <w:rPr>
          <w:rFonts w:hint="eastAsia"/>
        </w:rPr>
        <w:t>：</w:t>
      </w:r>
    </w:p>
    <w:p>
      <w:pPr>
        <w:jc w:val="center"/>
      </w:pPr>
      <w:r>
        <w:drawing>
          <wp:inline distT="0" distB="0" distL="114300" distR="114300">
            <wp:extent cx="6833870" cy="2428240"/>
            <wp:effectExtent l="0" t="0" r="5080" b="10160"/>
            <wp:docPr id="25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16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833870" cy="242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  <w:r>
        <w:drawing>
          <wp:inline distT="0" distB="0" distL="114300" distR="114300">
            <wp:extent cx="6837680" cy="1874520"/>
            <wp:effectExtent l="0" t="0" r="1270" b="11430"/>
            <wp:docPr id="26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17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837680" cy="187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微软雅黑" w:hAnsi="微软雅黑"/>
          <w:sz w:val="21"/>
          <w:szCs w:val="21"/>
        </w:rPr>
      </w:pPr>
      <w:r>
        <w:rPr>
          <w:rFonts w:hint="eastAsia" w:ascii="微软雅黑" w:hAnsi="微软雅黑"/>
          <w:sz w:val="21"/>
          <w:szCs w:val="21"/>
        </w:rPr>
        <w:t xml:space="preserve">         </w:t>
      </w:r>
    </w:p>
    <w:p>
      <w:pPr>
        <w:pStyle w:val="19"/>
        <w:numPr>
          <w:ilvl w:val="0"/>
          <w:numId w:val="1"/>
        </w:numPr>
        <w:ind w:left="0" w:firstLine="0" w:firstLineChars="0"/>
        <w:outlineLvl w:val="1"/>
        <w:rPr>
          <w:rFonts w:ascii="微软雅黑" w:hAnsi="微软雅黑"/>
          <w:bCs/>
          <w:sz w:val="21"/>
          <w:szCs w:val="21"/>
        </w:rPr>
      </w:pPr>
      <w:r>
        <w:rPr>
          <w:rFonts w:hint="eastAsia" w:ascii="微软雅黑" w:hAnsi="微软雅黑"/>
          <w:bCs/>
          <w:sz w:val="21"/>
          <w:szCs w:val="21"/>
        </w:rPr>
        <w:t>进入报名信息界面，查看候补信息：</w:t>
      </w:r>
    </w:p>
    <w:p>
      <w:pPr>
        <w:pStyle w:val="19"/>
        <w:ind w:firstLine="0" w:firstLineChars="0"/>
        <w:jc w:val="center"/>
        <w:rPr>
          <w:rFonts w:ascii="微软雅黑" w:hAnsi="微软雅黑"/>
          <w:sz w:val="21"/>
          <w:szCs w:val="21"/>
        </w:rPr>
      </w:pPr>
      <w:r>
        <w:drawing>
          <wp:inline distT="0" distB="0" distL="114300" distR="114300">
            <wp:extent cx="6839585" cy="7703185"/>
            <wp:effectExtent l="0" t="0" r="18415" b="12065"/>
            <wp:docPr id="27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18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839585" cy="7703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微软雅黑" w:hAnsi="微软雅黑"/>
          <w:sz w:val="21"/>
          <w:szCs w:val="21"/>
        </w:rPr>
      </w:pPr>
    </w:p>
    <w:p>
      <w:pPr>
        <w:jc w:val="center"/>
        <w:rPr>
          <w:rFonts w:ascii="微软雅黑" w:hAnsi="微软雅黑"/>
          <w:sz w:val="21"/>
          <w:szCs w:val="21"/>
        </w:rPr>
      </w:pPr>
    </w:p>
    <w:p>
      <w:pPr>
        <w:rPr>
          <w:rFonts w:ascii="微软雅黑" w:hAnsi="微软雅黑"/>
          <w:sz w:val="21"/>
          <w:szCs w:val="21"/>
        </w:rPr>
      </w:pPr>
    </w:p>
    <w:p>
      <w:pPr>
        <w:jc w:val="center"/>
        <w:rPr>
          <w:rFonts w:ascii="微软雅黑" w:hAnsi="微软雅黑"/>
          <w:sz w:val="21"/>
          <w:szCs w:val="21"/>
        </w:rPr>
      </w:pPr>
    </w:p>
    <w:p>
      <w:pPr>
        <w:jc w:val="center"/>
        <w:rPr>
          <w:rFonts w:ascii="微软雅黑" w:hAnsi="微软雅黑"/>
          <w:sz w:val="21"/>
          <w:szCs w:val="21"/>
        </w:rPr>
      </w:pPr>
    </w:p>
    <w:p>
      <w:pPr>
        <w:jc w:val="center"/>
        <w:rPr>
          <w:rFonts w:ascii="微软雅黑" w:hAnsi="微软雅黑"/>
          <w:sz w:val="21"/>
          <w:szCs w:val="21"/>
        </w:rPr>
      </w:pPr>
    </w:p>
    <w:p>
      <w:pPr>
        <w:jc w:val="center"/>
        <w:rPr>
          <w:rFonts w:ascii="微软雅黑" w:hAnsi="微软雅黑"/>
          <w:sz w:val="21"/>
          <w:szCs w:val="21"/>
        </w:rPr>
      </w:pPr>
    </w:p>
    <w:p>
      <w:pPr>
        <w:pStyle w:val="19"/>
        <w:numPr>
          <w:ilvl w:val="0"/>
          <w:numId w:val="1"/>
        </w:numPr>
        <w:ind w:left="0" w:firstLine="0" w:firstLineChars="0"/>
        <w:outlineLvl w:val="1"/>
        <w:rPr>
          <w:rFonts w:ascii="微软雅黑" w:hAnsi="微软雅黑"/>
          <w:bCs/>
          <w:sz w:val="21"/>
          <w:szCs w:val="21"/>
        </w:rPr>
      </w:pPr>
      <w:r>
        <w:rPr>
          <w:rFonts w:hint="eastAsia" w:ascii="微软雅黑" w:hAnsi="微软雅黑"/>
          <w:bCs/>
          <w:sz w:val="21"/>
          <w:szCs w:val="21"/>
        </w:rPr>
        <w:t>取消候补操作，点击“取消候补”按钮</w:t>
      </w:r>
    </w:p>
    <w:p>
      <w:pPr>
        <w:pStyle w:val="19"/>
        <w:ind w:firstLine="0" w:firstLineChars="0"/>
        <w:jc w:val="center"/>
      </w:pPr>
      <w:r>
        <w:drawing>
          <wp:inline distT="0" distB="0" distL="114300" distR="114300">
            <wp:extent cx="6831330" cy="1708150"/>
            <wp:effectExtent l="0" t="0" r="7620" b="6350"/>
            <wp:docPr id="28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19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831330" cy="170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9"/>
        <w:ind w:firstLine="0" w:firstLineChars="0"/>
      </w:pPr>
      <w:r>
        <w:rPr>
          <w:rFonts w:hint="eastAsia" w:ascii="微软雅黑" w:hAnsi="微软雅黑"/>
          <w:sz w:val="21"/>
          <w:szCs w:val="21"/>
        </w:rPr>
        <w:t>弹出确认提示，点击“确定”</w:t>
      </w:r>
      <w:r>
        <w:rPr>
          <w:rFonts w:hint="eastAsia"/>
        </w:rPr>
        <w:t>：</w:t>
      </w:r>
    </w:p>
    <w:p>
      <w:pPr>
        <w:pStyle w:val="19"/>
        <w:ind w:firstLine="0" w:firstLineChars="0"/>
        <w:jc w:val="center"/>
      </w:pPr>
      <w:r>
        <w:drawing>
          <wp:inline distT="0" distB="0" distL="114300" distR="114300">
            <wp:extent cx="6834505" cy="2181860"/>
            <wp:effectExtent l="0" t="0" r="4445" b="8890"/>
            <wp:docPr id="29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0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834505" cy="2181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9"/>
        <w:ind w:firstLine="0" w:firstLineChars="0"/>
      </w:pPr>
      <w:r>
        <w:rPr>
          <w:rFonts w:hint="eastAsia" w:ascii="微软雅黑" w:hAnsi="微软雅黑"/>
          <w:sz w:val="21"/>
          <w:szCs w:val="21"/>
        </w:rPr>
        <w:t>弹出候补原因页面，选择取消候补原因，点击“确定”</w:t>
      </w:r>
      <w:r>
        <w:rPr>
          <w:rFonts w:hint="eastAsia"/>
        </w:rPr>
        <w:t>：</w:t>
      </w:r>
    </w:p>
    <w:p>
      <w:pPr>
        <w:pStyle w:val="19"/>
        <w:ind w:firstLine="0" w:firstLineChars="0"/>
        <w:jc w:val="center"/>
      </w:pPr>
      <w:r>
        <w:drawing>
          <wp:inline distT="0" distB="0" distL="114300" distR="114300">
            <wp:extent cx="4333875" cy="3209925"/>
            <wp:effectExtent l="0" t="0" r="9525" b="9525"/>
            <wp:docPr id="30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21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9"/>
        <w:ind w:firstLine="0" w:firstLineChars="0"/>
        <w:jc w:val="center"/>
      </w:pPr>
      <w:r>
        <w:drawing>
          <wp:inline distT="0" distB="0" distL="114300" distR="114300">
            <wp:extent cx="2876550" cy="1524000"/>
            <wp:effectExtent l="0" t="0" r="0" b="0"/>
            <wp:docPr id="34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25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9"/>
        <w:ind w:firstLine="0" w:firstLineChars="0"/>
      </w:pPr>
      <w:r>
        <w:rPr>
          <w:rFonts w:hint="eastAsia" w:ascii="微软雅黑" w:hAnsi="微软雅黑"/>
          <w:sz w:val="21"/>
          <w:szCs w:val="21"/>
        </w:rPr>
        <w:t>候补取消成功后，可点击“查看已完成候补”按钮，进行查看</w:t>
      </w:r>
      <w:r>
        <w:rPr>
          <w:rFonts w:hint="eastAsia"/>
        </w:rPr>
        <w:t>；</w:t>
      </w:r>
    </w:p>
    <w:p>
      <w:pPr>
        <w:pStyle w:val="19"/>
        <w:ind w:firstLine="0" w:firstLineChars="0"/>
        <w:jc w:val="center"/>
      </w:pPr>
      <w:r>
        <w:drawing>
          <wp:inline distT="0" distB="0" distL="114300" distR="114300">
            <wp:extent cx="6836410" cy="1676400"/>
            <wp:effectExtent l="0" t="0" r="2540" b="0"/>
            <wp:docPr id="32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23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83641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9"/>
        <w:ind w:firstLine="0" w:firstLineChars="0"/>
        <w:jc w:val="center"/>
      </w:pPr>
      <w:r>
        <w:drawing>
          <wp:inline distT="0" distB="0" distL="114300" distR="114300">
            <wp:extent cx="6831965" cy="2620010"/>
            <wp:effectExtent l="0" t="0" r="6985" b="8890"/>
            <wp:docPr id="33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24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831965" cy="2620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9"/>
        <w:ind w:firstLine="0" w:firstLineChars="0"/>
      </w:pPr>
    </w:p>
    <w:p>
      <w:pPr>
        <w:pStyle w:val="19"/>
        <w:numPr>
          <w:ilvl w:val="0"/>
          <w:numId w:val="1"/>
        </w:numPr>
        <w:ind w:left="0" w:firstLine="0" w:firstLineChars="0"/>
        <w:outlineLvl w:val="1"/>
        <w:rPr>
          <w:rFonts w:ascii="微软雅黑" w:hAnsi="微软雅黑"/>
          <w:bCs/>
          <w:sz w:val="21"/>
          <w:szCs w:val="21"/>
        </w:rPr>
      </w:pPr>
      <w:r>
        <w:rPr>
          <w:rFonts w:hint="eastAsia" w:ascii="微软雅黑" w:hAnsi="微软雅黑"/>
          <w:bCs/>
          <w:sz w:val="21"/>
          <w:szCs w:val="21"/>
        </w:rPr>
        <w:t>候补成功后，考生可在笔试报考科目信息查看</w:t>
      </w:r>
    </w:p>
    <w:p>
      <w:pPr>
        <w:pStyle w:val="19"/>
        <w:ind w:firstLine="0" w:firstLineChars="0"/>
        <w:jc w:val="center"/>
        <w:rPr>
          <w:rFonts w:ascii="微软雅黑" w:hAnsi="微软雅黑"/>
          <w:sz w:val="21"/>
          <w:szCs w:val="21"/>
        </w:rPr>
      </w:pPr>
      <w:r>
        <w:drawing>
          <wp:inline distT="0" distB="0" distL="114300" distR="114300">
            <wp:extent cx="6837045" cy="2305050"/>
            <wp:effectExtent l="0" t="0" r="1905" b="0"/>
            <wp:docPr id="35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26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837045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9"/>
        <w:numPr>
          <w:ilvl w:val="0"/>
          <w:numId w:val="1"/>
        </w:numPr>
        <w:ind w:left="0" w:firstLine="0" w:firstLineChars="0"/>
        <w:outlineLvl w:val="1"/>
        <w:rPr>
          <w:rFonts w:ascii="微软雅黑" w:hAnsi="微软雅黑"/>
          <w:bCs/>
          <w:sz w:val="21"/>
          <w:szCs w:val="21"/>
        </w:rPr>
      </w:pPr>
      <w:r>
        <w:rPr>
          <w:rFonts w:hint="eastAsia" w:ascii="微软雅黑" w:hAnsi="微软雅黑"/>
          <w:bCs/>
          <w:sz w:val="21"/>
          <w:szCs w:val="21"/>
        </w:rPr>
        <w:t>已报考了笔试科目，考生可候补同级别</w:t>
      </w:r>
      <w:r>
        <w:rPr>
          <w:rFonts w:hint="eastAsia" w:ascii="微软雅黑" w:hAnsi="微软雅黑"/>
          <w:bCs/>
          <w:sz w:val="21"/>
          <w:szCs w:val="21"/>
          <w:lang w:val="en-US" w:eastAsia="zh-CN"/>
        </w:rPr>
        <w:t>口试</w:t>
      </w:r>
      <w:bookmarkStart w:id="1" w:name="_GoBack"/>
      <w:bookmarkEnd w:id="1"/>
      <w:r>
        <w:rPr>
          <w:rFonts w:hint="eastAsia" w:ascii="微软雅黑" w:hAnsi="微软雅黑"/>
          <w:bCs/>
          <w:sz w:val="21"/>
          <w:szCs w:val="21"/>
        </w:rPr>
        <w:t>科目</w:t>
      </w:r>
    </w:p>
    <w:p>
      <w:pPr>
        <w:pStyle w:val="19"/>
        <w:ind w:firstLine="0" w:firstLineChars="0"/>
        <w:jc w:val="center"/>
      </w:pPr>
      <w:r>
        <w:drawing>
          <wp:inline distT="0" distB="0" distL="114300" distR="114300">
            <wp:extent cx="6839585" cy="2362200"/>
            <wp:effectExtent l="0" t="0" r="18415" b="0"/>
            <wp:docPr id="36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27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839585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9"/>
        <w:ind w:firstLine="0" w:firstLineChars="0"/>
      </w:pPr>
      <w:r>
        <w:rPr>
          <w:rFonts w:hint="eastAsia" w:ascii="微软雅黑" w:hAnsi="微软雅黑"/>
          <w:sz w:val="21"/>
          <w:szCs w:val="21"/>
        </w:rPr>
        <w:t>在口试报考页面，选择要报考的校区，点击“提交候补”按钮</w:t>
      </w:r>
      <w:r>
        <w:rPr>
          <w:rFonts w:hint="eastAsia"/>
        </w:rPr>
        <w:t>：</w:t>
      </w:r>
    </w:p>
    <w:p>
      <w:pPr>
        <w:pStyle w:val="19"/>
        <w:ind w:firstLine="0" w:firstLineChars="0"/>
        <w:jc w:val="center"/>
      </w:pPr>
      <w:r>
        <w:drawing>
          <wp:inline distT="0" distB="0" distL="114300" distR="114300">
            <wp:extent cx="6838950" cy="2065655"/>
            <wp:effectExtent l="0" t="0" r="0" b="10795"/>
            <wp:docPr id="37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28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838950" cy="206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9"/>
        <w:ind w:firstLine="0" w:firstLineChars="0"/>
      </w:pPr>
      <w:r>
        <w:rPr>
          <w:rFonts w:hint="eastAsia" w:ascii="微软雅黑" w:hAnsi="微软雅黑"/>
          <w:sz w:val="21"/>
          <w:szCs w:val="21"/>
        </w:rPr>
        <w:t>保存成功后，在候补信息里查看正在候补信息</w:t>
      </w:r>
      <w:r>
        <w:rPr>
          <w:rFonts w:hint="eastAsia"/>
        </w:rPr>
        <w:t>；</w:t>
      </w:r>
    </w:p>
    <w:p>
      <w:pPr>
        <w:pStyle w:val="19"/>
        <w:ind w:firstLine="0" w:firstLineChars="0"/>
      </w:pPr>
      <w:r>
        <w:rPr>
          <w:rFonts w:hint="eastAsia" w:ascii="微软雅黑" w:hAnsi="微软雅黑"/>
          <w:sz w:val="21"/>
          <w:szCs w:val="21"/>
        </w:rPr>
        <w:t>点击“查看已完成候补”按钮，考生可查看自己的候补操作</w:t>
      </w:r>
      <w:r>
        <w:rPr>
          <w:rFonts w:hint="eastAsia"/>
        </w:rPr>
        <w:t>：</w:t>
      </w:r>
    </w:p>
    <w:p>
      <w:pPr>
        <w:pStyle w:val="19"/>
        <w:ind w:firstLine="0" w:firstLineChars="0"/>
        <w:jc w:val="center"/>
      </w:pPr>
      <w:r>
        <w:drawing>
          <wp:inline distT="0" distB="0" distL="114300" distR="114300">
            <wp:extent cx="6839585" cy="3281045"/>
            <wp:effectExtent l="0" t="0" r="18415" b="14605"/>
            <wp:docPr id="38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29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839585" cy="3281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9"/>
        <w:numPr>
          <w:ilvl w:val="0"/>
          <w:numId w:val="1"/>
        </w:numPr>
        <w:ind w:left="0" w:firstLine="0" w:firstLineChars="0"/>
        <w:outlineLvl w:val="1"/>
        <w:rPr>
          <w:rFonts w:ascii="微软雅黑" w:hAnsi="微软雅黑"/>
          <w:bCs/>
          <w:sz w:val="21"/>
          <w:szCs w:val="21"/>
        </w:rPr>
      </w:pPr>
      <w:r>
        <w:rPr>
          <w:rFonts w:hint="eastAsia" w:ascii="微软雅黑" w:hAnsi="微软雅黑"/>
          <w:bCs/>
          <w:sz w:val="21"/>
          <w:szCs w:val="21"/>
        </w:rPr>
        <w:t>报考科目确认无误后，笔试科目点击“纸质成绩报告单”按钮：</w:t>
      </w:r>
    </w:p>
    <w:p>
      <w:pPr>
        <w:pStyle w:val="19"/>
        <w:ind w:firstLine="0" w:firstLineChars="0"/>
        <w:jc w:val="center"/>
      </w:pPr>
      <w:r>
        <w:drawing>
          <wp:inline distT="0" distB="0" distL="114300" distR="114300">
            <wp:extent cx="6834505" cy="2205355"/>
            <wp:effectExtent l="0" t="0" r="4445" b="4445"/>
            <wp:docPr id="4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31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834505" cy="2205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9"/>
        <w:ind w:firstLine="0" w:firstLineChars="0"/>
      </w:pPr>
      <w:r>
        <w:rPr>
          <w:rFonts w:hint="eastAsia" w:ascii="微软雅黑" w:hAnsi="微软雅黑"/>
          <w:sz w:val="21"/>
          <w:szCs w:val="21"/>
        </w:rPr>
        <w:t>弹出纸质成绩报告单/证书申请界面</w:t>
      </w:r>
      <w:r>
        <w:rPr>
          <w:rFonts w:hint="eastAsia"/>
        </w:rPr>
        <w:t>：</w:t>
      </w:r>
    </w:p>
    <w:p>
      <w:pPr>
        <w:pStyle w:val="19"/>
        <w:ind w:firstLine="0" w:firstLineChars="0"/>
        <w:jc w:val="center"/>
      </w:pPr>
      <w:r>
        <w:drawing>
          <wp:inline distT="0" distB="0" distL="114300" distR="114300">
            <wp:extent cx="6838950" cy="3754755"/>
            <wp:effectExtent l="0" t="0" r="0" b="17145"/>
            <wp:docPr id="4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32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838950" cy="3754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9"/>
        <w:ind w:firstLine="0" w:firstLineChars="0"/>
        <w:rPr>
          <w:rFonts w:ascii="微软雅黑" w:hAnsi="微软雅黑"/>
          <w:sz w:val="21"/>
          <w:szCs w:val="21"/>
        </w:rPr>
      </w:pPr>
      <w:r>
        <w:rPr>
          <w:rFonts w:hint="eastAsia" w:ascii="微软雅黑" w:hAnsi="微软雅黑"/>
          <w:sz w:val="21"/>
          <w:szCs w:val="21"/>
        </w:rPr>
        <w:t>选择报告单类型：</w:t>
      </w:r>
    </w:p>
    <w:p>
      <w:pPr>
        <w:pStyle w:val="19"/>
        <w:ind w:firstLine="0" w:firstLineChars="0"/>
        <w:jc w:val="center"/>
      </w:pPr>
      <w:r>
        <w:drawing>
          <wp:inline distT="0" distB="0" distL="114300" distR="114300">
            <wp:extent cx="6834505" cy="3728085"/>
            <wp:effectExtent l="0" t="0" r="4445" b="5715"/>
            <wp:docPr id="4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33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834505" cy="3728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9"/>
        <w:ind w:firstLine="0" w:firstLineChars="0"/>
      </w:pPr>
      <w:r>
        <w:rPr>
          <w:rFonts w:hint="eastAsia" w:ascii="微软雅黑" w:hAnsi="微软雅黑"/>
          <w:sz w:val="21"/>
          <w:szCs w:val="21"/>
        </w:rPr>
        <w:t>点击“确定”</w:t>
      </w:r>
      <w:r>
        <w:rPr>
          <w:rFonts w:hint="eastAsia"/>
        </w:rPr>
        <w:t>：</w:t>
      </w:r>
    </w:p>
    <w:p>
      <w:pPr>
        <w:pStyle w:val="19"/>
        <w:ind w:firstLine="0" w:firstLineChars="0"/>
        <w:jc w:val="center"/>
      </w:pPr>
      <w:r>
        <w:drawing>
          <wp:inline distT="0" distB="0" distL="114300" distR="114300">
            <wp:extent cx="6839585" cy="3767455"/>
            <wp:effectExtent l="0" t="0" r="18415" b="4445"/>
            <wp:docPr id="4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34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839585" cy="3767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9"/>
        <w:ind w:firstLine="0" w:firstLineChars="0"/>
      </w:pPr>
      <w:r>
        <w:rPr>
          <w:rFonts w:hint="eastAsia" w:ascii="微软雅黑" w:hAnsi="微软雅黑"/>
          <w:sz w:val="21"/>
          <w:szCs w:val="21"/>
        </w:rPr>
        <w:t>点击“保存”</w:t>
      </w:r>
      <w:r>
        <w:rPr>
          <w:rFonts w:hint="eastAsia"/>
        </w:rPr>
        <w:t>：</w:t>
      </w:r>
    </w:p>
    <w:p>
      <w:pPr>
        <w:pStyle w:val="19"/>
        <w:ind w:firstLine="0" w:firstLineChars="0"/>
        <w:jc w:val="center"/>
      </w:pPr>
      <w:r>
        <w:drawing>
          <wp:inline distT="0" distB="0" distL="114300" distR="114300">
            <wp:extent cx="6834505" cy="3589655"/>
            <wp:effectExtent l="0" t="0" r="4445" b="10795"/>
            <wp:docPr id="4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35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834505" cy="3589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9"/>
        <w:ind w:firstLine="0" w:firstLineChars="0"/>
      </w:pPr>
      <w:r>
        <w:rPr>
          <w:rFonts w:hint="eastAsia" w:ascii="微软雅黑" w:hAnsi="微软雅黑"/>
          <w:sz w:val="21"/>
          <w:szCs w:val="21"/>
        </w:rPr>
        <w:t>再次点击“确定”，保存成功。</w:t>
      </w:r>
    </w:p>
    <w:p>
      <w:pPr>
        <w:pStyle w:val="19"/>
        <w:numPr>
          <w:ilvl w:val="0"/>
          <w:numId w:val="1"/>
        </w:numPr>
        <w:ind w:left="0" w:firstLine="0" w:firstLineChars="0"/>
        <w:outlineLvl w:val="1"/>
        <w:rPr>
          <w:rFonts w:ascii="微软雅黑" w:hAnsi="微软雅黑"/>
          <w:bCs/>
          <w:sz w:val="21"/>
          <w:szCs w:val="21"/>
        </w:rPr>
      </w:pPr>
      <w:r>
        <w:rPr>
          <w:rFonts w:hint="eastAsia" w:ascii="微软雅黑" w:hAnsi="微软雅黑"/>
          <w:bCs/>
          <w:sz w:val="21"/>
          <w:szCs w:val="21"/>
        </w:rPr>
        <w:t>点击“支付”：</w:t>
      </w:r>
    </w:p>
    <w:p>
      <w:pPr>
        <w:jc w:val="center"/>
        <w:rPr>
          <w:rFonts w:ascii="微软雅黑" w:hAnsi="微软雅黑"/>
          <w:sz w:val="21"/>
          <w:szCs w:val="21"/>
        </w:rPr>
      </w:pPr>
      <w:r>
        <w:drawing>
          <wp:inline distT="0" distB="0" distL="114300" distR="114300">
            <wp:extent cx="6833235" cy="2310765"/>
            <wp:effectExtent l="0" t="0" r="5715" b="13335"/>
            <wp:docPr id="39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0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833235" cy="2310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微软雅黑" w:hAnsi="微软雅黑"/>
          <w:sz w:val="21"/>
          <w:szCs w:val="21"/>
        </w:rPr>
      </w:pPr>
      <w:r>
        <w:rPr>
          <w:rFonts w:hint="eastAsia" w:ascii="微软雅黑" w:hAnsi="微软雅黑"/>
          <w:sz w:val="21"/>
          <w:szCs w:val="21"/>
        </w:rPr>
        <w:t>页面提示确认报考信息，点击“去支付”，再次提示确认报考信息，点击“确定”：</w:t>
      </w:r>
    </w:p>
    <w:p>
      <w:pPr>
        <w:jc w:val="center"/>
        <w:rPr>
          <w:rFonts w:ascii="微软雅黑" w:hAnsi="微软雅黑"/>
          <w:sz w:val="21"/>
          <w:szCs w:val="21"/>
        </w:rPr>
      </w:pPr>
      <w:r>
        <w:drawing>
          <wp:inline distT="0" distB="0" distL="114300" distR="114300">
            <wp:extent cx="6833235" cy="4230370"/>
            <wp:effectExtent l="0" t="0" r="5715" b="17780"/>
            <wp:docPr id="4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36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833235" cy="423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微软雅黑" w:hAnsi="微软雅黑"/>
          <w:sz w:val="21"/>
          <w:szCs w:val="21"/>
        </w:rPr>
      </w:pPr>
      <w:r>
        <w:drawing>
          <wp:inline distT="0" distB="0" distL="114300" distR="114300">
            <wp:extent cx="6836410" cy="4274185"/>
            <wp:effectExtent l="0" t="0" r="2540" b="12065"/>
            <wp:docPr id="4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37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6836410" cy="4274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9"/>
        <w:numPr>
          <w:ilvl w:val="0"/>
          <w:numId w:val="1"/>
        </w:numPr>
        <w:ind w:left="0" w:firstLine="0" w:firstLineChars="0"/>
        <w:outlineLvl w:val="1"/>
        <w:rPr>
          <w:rFonts w:ascii="微软雅黑" w:hAnsi="微软雅黑"/>
          <w:bCs/>
          <w:sz w:val="21"/>
          <w:szCs w:val="21"/>
        </w:rPr>
      </w:pPr>
      <w:r>
        <w:rPr>
          <w:rFonts w:hint="eastAsia" w:ascii="微软雅黑" w:hAnsi="微软雅黑"/>
          <w:bCs/>
          <w:sz w:val="21"/>
          <w:szCs w:val="21"/>
        </w:rPr>
        <w:t>页面跳转至支付平台，选择支付方式：</w:t>
      </w:r>
    </w:p>
    <w:p>
      <w:pPr>
        <w:jc w:val="center"/>
        <w:rPr>
          <w:rFonts w:ascii="微软雅黑" w:hAnsi="微软雅黑"/>
          <w:sz w:val="21"/>
          <w:szCs w:val="21"/>
        </w:rPr>
      </w:pPr>
      <w:r>
        <w:drawing>
          <wp:inline distT="0" distB="0" distL="114300" distR="114300">
            <wp:extent cx="6837680" cy="2736215"/>
            <wp:effectExtent l="0" t="0" r="1270" b="6985"/>
            <wp:docPr id="4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38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837680" cy="273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微软雅黑" w:hAnsi="微软雅黑"/>
          <w:sz w:val="21"/>
          <w:szCs w:val="21"/>
        </w:rPr>
      </w:pPr>
      <w:r>
        <w:rPr>
          <w:rFonts w:hint="eastAsia" w:ascii="微软雅黑" w:hAnsi="微软雅黑"/>
          <w:sz w:val="21"/>
          <w:szCs w:val="21"/>
        </w:rPr>
        <w:t>选择支付方式，进行支付。</w:t>
      </w:r>
    </w:p>
    <w:p>
      <w:pPr>
        <w:jc w:val="center"/>
        <w:rPr>
          <w:rFonts w:ascii="黑体" w:hAnsi="黑体" w:eastAsia="黑体" w:cs="黑体"/>
          <w:b/>
          <w:bCs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sz w:val="36"/>
          <w:szCs w:val="36"/>
        </w:rPr>
        <w:t>以上</w:t>
      </w:r>
    </w:p>
    <w:p>
      <w:pPr>
        <w:jc w:val="center"/>
        <w:rPr>
          <w:rFonts w:ascii="微软雅黑" w:hAnsi="微软雅黑"/>
          <w:sz w:val="21"/>
          <w:szCs w:val="21"/>
        </w:rPr>
      </w:pPr>
    </w:p>
    <w:sectPr>
      <w:footerReference r:id="rId3" w:type="default"/>
      <w:pgSz w:w="11906" w:h="16838"/>
      <w:pgMar w:top="567" w:right="567" w:bottom="567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905253182"/>
      <w:docPartObj>
        <w:docPartGallery w:val="autotext"/>
      </w:docPartObj>
    </w:sdtPr>
    <w:sdtContent>
      <w:sdt>
        <w:sdtPr>
          <w:id w:val="1728636285"/>
          <w:docPartObj>
            <w:docPartGallery w:val="autotext"/>
          </w:docPartObj>
        </w:sdtPr>
        <w:sdtContent>
          <w:p>
            <w:pPr>
              <w:pStyle w:val="5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>
    <w:pPr>
      <w:pStyle w:val="5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CDF59AF"/>
    <w:multiLevelType w:val="multilevel"/>
    <w:tmpl w:val="7CDF59AF"/>
    <w:lvl w:ilvl="0" w:tentative="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620" w:hanging="420"/>
      </w:pPr>
    </w:lvl>
    <w:lvl w:ilvl="2" w:tentative="0">
      <w:start w:val="1"/>
      <w:numFmt w:val="lowerRoman"/>
      <w:lvlText w:val="%3."/>
      <w:lvlJc w:val="right"/>
      <w:pPr>
        <w:ind w:left="2040" w:hanging="420"/>
      </w:pPr>
    </w:lvl>
    <w:lvl w:ilvl="3" w:tentative="0">
      <w:start w:val="1"/>
      <w:numFmt w:val="decimal"/>
      <w:lvlText w:val="%4."/>
      <w:lvlJc w:val="left"/>
      <w:pPr>
        <w:ind w:left="2460" w:hanging="420"/>
      </w:pPr>
    </w:lvl>
    <w:lvl w:ilvl="4" w:tentative="0">
      <w:start w:val="1"/>
      <w:numFmt w:val="lowerLetter"/>
      <w:lvlText w:val="%5)"/>
      <w:lvlJc w:val="left"/>
      <w:pPr>
        <w:ind w:left="2880" w:hanging="420"/>
      </w:pPr>
    </w:lvl>
    <w:lvl w:ilvl="5" w:tentative="0">
      <w:start w:val="1"/>
      <w:numFmt w:val="lowerRoman"/>
      <w:lvlText w:val="%6."/>
      <w:lvlJc w:val="right"/>
      <w:pPr>
        <w:ind w:left="3300" w:hanging="420"/>
      </w:pPr>
    </w:lvl>
    <w:lvl w:ilvl="6" w:tentative="0">
      <w:start w:val="1"/>
      <w:numFmt w:val="decimal"/>
      <w:lvlText w:val="%7."/>
      <w:lvlJc w:val="left"/>
      <w:pPr>
        <w:ind w:left="3720" w:hanging="420"/>
      </w:pPr>
    </w:lvl>
    <w:lvl w:ilvl="7" w:tentative="0">
      <w:start w:val="1"/>
      <w:numFmt w:val="lowerLetter"/>
      <w:lvlText w:val="%8)"/>
      <w:lvlJc w:val="left"/>
      <w:pPr>
        <w:ind w:left="4140" w:hanging="420"/>
      </w:pPr>
    </w:lvl>
    <w:lvl w:ilvl="8" w:tentative="0">
      <w:start w:val="1"/>
      <w:numFmt w:val="lowerRoman"/>
      <w:lvlText w:val="%9."/>
      <w:lvlJc w:val="right"/>
      <w:pPr>
        <w:ind w:left="45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jk1YzJmYmIwNzU5N2JkYTdkMDM5MmJmYWNiMmEwOGYifQ=="/>
  </w:docVars>
  <w:rsids>
    <w:rsidRoot w:val="000033A7"/>
    <w:rsid w:val="000033A7"/>
    <w:rsid w:val="000C0E41"/>
    <w:rsid w:val="000D5004"/>
    <w:rsid w:val="000D6E1B"/>
    <w:rsid w:val="00121C21"/>
    <w:rsid w:val="001228F5"/>
    <w:rsid w:val="0013110D"/>
    <w:rsid w:val="00133F26"/>
    <w:rsid w:val="001A23AB"/>
    <w:rsid w:val="001A3C6F"/>
    <w:rsid w:val="001A6558"/>
    <w:rsid w:val="001E76D6"/>
    <w:rsid w:val="00201494"/>
    <w:rsid w:val="00202115"/>
    <w:rsid w:val="00237342"/>
    <w:rsid w:val="002775D5"/>
    <w:rsid w:val="002F216D"/>
    <w:rsid w:val="002F2CB1"/>
    <w:rsid w:val="00360BF1"/>
    <w:rsid w:val="00380D15"/>
    <w:rsid w:val="00394F27"/>
    <w:rsid w:val="003E5897"/>
    <w:rsid w:val="0041523B"/>
    <w:rsid w:val="0043146C"/>
    <w:rsid w:val="00473A32"/>
    <w:rsid w:val="00483B2D"/>
    <w:rsid w:val="004D1B48"/>
    <w:rsid w:val="004E24A8"/>
    <w:rsid w:val="00514AB6"/>
    <w:rsid w:val="00534547"/>
    <w:rsid w:val="0056319B"/>
    <w:rsid w:val="0056744E"/>
    <w:rsid w:val="0056762A"/>
    <w:rsid w:val="005D3491"/>
    <w:rsid w:val="005F6FF6"/>
    <w:rsid w:val="0068221A"/>
    <w:rsid w:val="006D19C7"/>
    <w:rsid w:val="00734C48"/>
    <w:rsid w:val="007442FF"/>
    <w:rsid w:val="00791DA2"/>
    <w:rsid w:val="007A697E"/>
    <w:rsid w:val="00801135"/>
    <w:rsid w:val="00810C8F"/>
    <w:rsid w:val="008142D1"/>
    <w:rsid w:val="00880386"/>
    <w:rsid w:val="008A21F9"/>
    <w:rsid w:val="008F419C"/>
    <w:rsid w:val="009302E4"/>
    <w:rsid w:val="0099785D"/>
    <w:rsid w:val="009C03B4"/>
    <w:rsid w:val="00A473A2"/>
    <w:rsid w:val="00A92333"/>
    <w:rsid w:val="00AA134E"/>
    <w:rsid w:val="00AE5BF5"/>
    <w:rsid w:val="00B113BA"/>
    <w:rsid w:val="00B27520"/>
    <w:rsid w:val="00B67751"/>
    <w:rsid w:val="00B92759"/>
    <w:rsid w:val="00BE4A8D"/>
    <w:rsid w:val="00C14D1B"/>
    <w:rsid w:val="00C237EC"/>
    <w:rsid w:val="00C82F00"/>
    <w:rsid w:val="00CB5512"/>
    <w:rsid w:val="00CE0EDB"/>
    <w:rsid w:val="00CE7D0A"/>
    <w:rsid w:val="00CF67E9"/>
    <w:rsid w:val="00D0559D"/>
    <w:rsid w:val="00D3417F"/>
    <w:rsid w:val="00D344DD"/>
    <w:rsid w:val="00D54D8D"/>
    <w:rsid w:val="00D8313E"/>
    <w:rsid w:val="00DA71D2"/>
    <w:rsid w:val="00DB1C4D"/>
    <w:rsid w:val="00DE3D69"/>
    <w:rsid w:val="00DE6E6F"/>
    <w:rsid w:val="00E34413"/>
    <w:rsid w:val="00E41D5D"/>
    <w:rsid w:val="00E47EBA"/>
    <w:rsid w:val="00E87EDE"/>
    <w:rsid w:val="00EE0797"/>
    <w:rsid w:val="00EF0580"/>
    <w:rsid w:val="00EF7BEA"/>
    <w:rsid w:val="00F13B37"/>
    <w:rsid w:val="00F165C3"/>
    <w:rsid w:val="00F419C0"/>
    <w:rsid w:val="00F74034"/>
    <w:rsid w:val="00F769B3"/>
    <w:rsid w:val="00FA3C09"/>
    <w:rsid w:val="00FB4DE4"/>
    <w:rsid w:val="00FC38F1"/>
    <w:rsid w:val="016609DC"/>
    <w:rsid w:val="01AE3AC2"/>
    <w:rsid w:val="01F13B36"/>
    <w:rsid w:val="08A85626"/>
    <w:rsid w:val="14B3630E"/>
    <w:rsid w:val="16DB21E6"/>
    <w:rsid w:val="184A703A"/>
    <w:rsid w:val="18FD4541"/>
    <w:rsid w:val="1BA15D3E"/>
    <w:rsid w:val="1E372483"/>
    <w:rsid w:val="1FE61854"/>
    <w:rsid w:val="2233765F"/>
    <w:rsid w:val="225C3AC8"/>
    <w:rsid w:val="23011D9A"/>
    <w:rsid w:val="27872CDC"/>
    <w:rsid w:val="27BF418D"/>
    <w:rsid w:val="33BF6103"/>
    <w:rsid w:val="34D5002D"/>
    <w:rsid w:val="3550682E"/>
    <w:rsid w:val="38191333"/>
    <w:rsid w:val="3CE32812"/>
    <w:rsid w:val="3D5C01FD"/>
    <w:rsid w:val="456F1252"/>
    <w:rsid w:val="483A2244"/>
    <w:rsid w:val="52DB1E8C"/>
    <w:rsid w:val="57D72BC5"/>
    <w:rsid w:val="5E6A138B"/>
    <w:rsid w:val="5E9D0276"/>
    <w:rsid w:val="5ED614F4"/>
    <w:rsid w:val="5EE87B42"/>
    <w:rsid w:val="606F65B9"/>
    <w:rsid w:val="60C51406"/>
    <w:rsid w:val="64062AB6"/>
    <w:rsid w:val="693127F5"/>
    <w:rsid w:val="6A3E4C35"/>
    <w:rsid w:val="725F14AC"/>
    <w:rsid w:val="773272BD"/>
    <w:rsid w:val="78C041A4"/>
    <w:rsid w:val="79223CF6"/>
    <w:rsid w:val="7945594D"/>
    <w:rsid w:val="7D277599"/>
    <w:rsid w:val="7EED0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微软雅黑" w:asciiTheme="minorHAnsi" w:hAnsiTheme="minorHAnsi" w:cstheme="minorBidi"/>
      <w:kern w:val="2"/>
      <w:sz w:val="18"/>
      <w:szCs w:val="22"/>
      <w:lang w:val="en-US" w:eastAsia="zh-CN" w:bidi="ar-SA"/>
    </w:rPr>
  </w:style>
  <w:style w:type="paragraph" w:styleId="2">
    <w:name w:val="heading 1"/>
    <w:basedOn w:val="1"/>
    <w:next w:val="1"/>
    <w:link w:val="20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oc 3"/>
    <w:basedOn w:val="1"/>
    <w:next w:val="1"/>
    <w:unhideWhenUsed/>
    <w:qFormat/>
    <w:uiPriority w:val="39"/>
    <w:pPr>
      <w:ind w:left="840" w:leftChars="400"/>
    </w:pPr>
  </w:style>
  <w:style w:type="paragraph" w:styleId="4">
    <w:name w:val="Balloon Text"/>
    <w:basedOn w:val="1"/>
    <w:link w:val="16"/>
    <w:semiHidden/>
    <w:unhideWhenUsed/>
    <w:qFormat/>
    <w:uiPriority w:val="99"/>
    <w:rPr>
      <w:szCs w:val="18"/>
    </w:rPr>
  </w:style>
  <w:style w:type="paragraph" w:styleId="5">
    <w:name w:val="footer"/>
    <w:basedOn w:val="1"/>
    <w:link w:val="1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Cs w:val="18"/>
    </w:rPr>
  </w:style>
  <w:style w:type="paragraph" w:styleId="6">
    <w:name w:val="header"/>
    <w:basedOn w:val="1"/>
    <w:link w:val="1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Cs w:val="18"/>
    </w:rPr>
  </w:style>
  <w:style w:type="paragraph" w:styleId="7">
    <w:name w:val="toc 1"/>
    <w:basedOn w:val="1"/>
    <w:next w:val="1"/>
    <w:unhideWhenUsed/>
    <w:qFormat/>
    <w:uiPriority w:val="39"/>
  </w:style>
  <w:style w:type="paragraph" w:styleId="8">
    <w:name w:val="toc 2"/>
    <w:basedOn w:val="1"/>
    <w:next w:val="1"/>
    <w:unhideWhenUsed/>
    <w:uiPriority w:val="39"/>
    <w:pPr>
      <w:ind w:left="420" w:leftChars="200"/>
    </w:pPr>
  </w:style>
  <w:style w:type="paragraph" w:styleId="9">
    <w:name w:val="Title"/>
    <w:basedOn w:val="1"/>
    <w:next w:val="1"/>
    <w:link w:val="15"/>
    <w:qFormat/>
    <w:uiPriority w:val="1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table" w:styleId="11">
    <w:name w:val="Table Grid"/>
    <w:basedOn w:val="10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uiPriority w:val="22"/>
    <w:rPr>
      <w:b/>
      <w:bCs/>
    </w:rPr>
  </w:style>
  <w:style w:type="character" w:styleId="14">
    <w:name w:val="Hyperlink"/>
    <w:basedOn w:val="12"/>
    <w:unhideWhenUsed/>
    <w:qFormat/>
    <w:uiPriority w:val="99"/>
    <w:rPr>
      <w:color w:val="0000FF" w:themeColor="hyperlink"/>
      <w:u w:val="single"/>
    </w:rPr>
  </w:style>
  <w:style w:type="character" w:customStyle="1" w:styleId="15">
    <w:name w:val="标题 Char"/>
    <w:basedOn w:val="12"/>
    <w:link w:val="9"/>
    <w:qFormat/>
    <w:uiPriority w:val="10"/>
    <w:rPr>
      <w:rFonts w:eastAsia="宋体" w:asciiTheme="majorHAnsi" w:hAnsiTheme="majorHAnsi" w:cstheme="majorBidi"/>
      <w:b/>
      <w:bCs/>
      <w:sz w:val="32"/>
      <w:szCs w:val="32"/>
    </w:rPr>
  </w:style>
  <w:style w:type="character" w:customStyle="1" w:styleId="16">
    <w:name w:val="批注框文本 Char"/>
    <w:basedOn w:val="12"/>
    <w:link w:val="4"/>
    <w:semiHidden/>
    <w:uiPriority w:val="99"/>
    <w:rPr>
      <w:rFonts w:eastAsia="微软雅黑"/>
      <w:sz w:val="18"/>
      <w:szCs w:val="18"/>
    </w:rPr>
  </w:style>
  <w:style w:type="character" w:customStyle="1" w:styleId="17">
    <w:name w:val="页眉 Char"/>
    <w:basedOn w:val="12"/>
    <w:link w:val="6"/>
    <w:uiPriority w:val="99"/>
    <w:rPr>
      <w:rFonts w:eastAsia="微软雅黑"/>
      <w:sz w:val="18"/>
      <w:szCs w:val="18"/>
    </w:rPr>
  </w:style>
  <w:style w:type="character" w:customStyle="1" w:styleId="18">
    <w:name w:val="页脚 Char"/>
    <w:basedOn w:val="12"/>
    <w:link w:val="5"/>
    <w:qFormat/>
    <w:uiPriority w:val="99"/>
    <w:rPr>
      <w:rFonts w:eastAsia="微软雅黑"/>
      <w:sz w:val="18"/>
      <w:szCs w:val="18"/>
    </w:rPr>
  </w:style>
  <w:style w:type="paragraph" w:styleId="19">
    <w:name w:val="List Paragraph"/>
    <w:basedOn w:val="1"/>
    <w:qFormat/>
    <w:uiPriority w:val="34"/>
    <w:pPr>
      <w:ind w:firstLine="420" w:firstLineChars="200"/>
    </w:pPr>
  </w:style>
  <w:style w:type="character" w:customStyle="1" w:styleId="20">
    <w:name w:val="标题 1 Char"/>
    <w:basedOn w:val="12"/>
    <w:link w:val="2"/>
    <w:qFormat/>
    <w:uiPriority w:val="9"/>
    <w:rPr>
      <w:rFonts w:eastAsia="微软雅黑"/>
      <w:b/>
      <w:bCs/>
      <w:kern w:val="44"/>
      <w:sz w:val="44"/>
      <w:szCs w:val="44"/>
    </w:rPr>
  </w:style>
  <w:style w:type="paragraph" w:customStyle="1" w:styleId="21">
    <w:name w:val="TOC 标题1"/>
    <w:basedOn w:val="2"/>
    <w:next w:val="1"/>
    <w:unhideWhenUsed/>
    <w:qFormat/>
    <w:uiPriority w:val="39"/>
    <w:pPr>
      <w:widowControl/>
      <w:spacing w:before="480" w:after="0" w:line="276" w:lineRule="auto"/>
      <w:jc w:val="left"/>
      <w:outlineLvl w:val="9"/>
    </w:pPr>
    <w:rPr>
      <w:rFonts w:asciiTheme="majorHAnsi" w:hAnsiTheme="majorHAnsi" w:eastAsiaTheme="majorEastAsia" w:cstheme="majorBidi"/>
      <w:color w:val="366091" w:themeColor="accent1" w:themeShade="BF"/>
      <w:kern w:val="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4" Type="http://schemas.openxmlformats.org/officeDocument/2006/relationships/fontTable" Target="fontTable.xml"/><Relationship Id="rId43" Type="http://schemas.openxmlformats.org/officeDocument/2006/relationships/customXml" Target="../customXml/item1.xml"/><Relationship Id="rId42" Type="http://schemas.openxmlformats.org/officeDocument/2006/relationships/numbering" Target="numbering.xml"/><Relationship Id="rId41" Type="http://schemas.openxmlformats.org/officeDocument/2006/relationships/image" Target="media/image37.png"/><Relationship Id="rId40" Type="http://schemas.openxmlformats.org/officeDocument/2006/relationships/image" Target="media/image36.png"/><Relationship Id="rId4" Type="http://schemas.openxmlformats.org/officeDocument/2006/relationships/theme" Target="theme/theme1.xml"/><Relationship Id="rId39" Type="http://schemas.openxmlformats.org/officeDocument/2006/relationships/image" Target="media/image35.png"/><Relationship Id="rId38" Type="http://schemas.openxmlformats.org/officeDocument/2006/relationships/image" Target="media/image34.png"/><Relationship Id="rId37" Type="http://schemas.openxmlformats.org/officeDocument/2006/relationships/image" Target="media/image33.png"/><Relationship Id="rId36" Type="http://schemas.openxmlformats.org/officeDocument/2006/relationships/image" Target="media/image32.png"/><Relationship Id="rId35" Type="http://schemas.openxmlformats.org/officeDocument/2006/relationships/image" Target="media/image31.png"/><Relationship Id="rId34" Type="http://schemas.openxmlformats.org/officeDocument/2006/relationships/image" Target="media/image30.png"/><Relationship Id="rId33" Type="http://schemas.openxmlformats.org/officeDocument/2006/relationships/image" Target="media/image29.png"/><Relationship Id="rId32" Type="http://schemas.openxmlformats.org/officeDocument/2006/relationships/image" Target="media/image28.png"/><Relationship Id="rId31" Type="http://schemas.openxmlformats.org/officeDocument/2006/relationships/image" Target="media/image27.png"/><Relationship Id="rId30" Type="http://schemas.openxmlformats.org/officeDocument/2006/relationships/image" Target="media/image26.png"/><Relationship Id="rId3" Type="http://schemas.openxmlformats.org/officeDocument/2006/relationships/footer" Target="footer1.xml"/><Relationship Id="rId29" Type="http://schemas.openxmlformats.org/officeDocument/2006/relationships/image" Target="media/image25.png"/><Relationship Id="rId28" Type="http://schemas.openxmlformats.org/officeDocument/2006/relationships/image" Target="media/image24.png"/><Relationship Id="rId27" Type="http://schemas.openxmlformats.org/officeDocument/2006/relationships/image" Target="media/image23.png"/><Relationship Id="rId26" Type="http://schemas.openxmlformats.org/officeDocument/2006/relationships/image" Target="media/image22.png"/><Relationship Id="rId25" Type="http://schemas.openxmlformats.org/officeDocument/2006/relationships/image" Target="media/image21.png"/><Relationship Id="rId24" Type="http://schemas.openxmlformats.org/officeDocument/2006/relationships/image" Target="media/image20.png"/><Relationship Id="rId23" Type="http://schemas.openxmlformats.org/officeDocument/2006/relationships/image" Target="media/image19.png"/><Relationship Id="rId22" Type="http://schemas.openxmlformats.org/officeDocument/2006/relationships/image" Target="media/image18.png"/><Relationship Id="rId21" Type="http://schemas.openxmlformats.org/officeDocument/2006/relationships/image" Target="media/image17.png"/><Relationship Id="rId20" Type="http://schemas.openxmlformats.org/officeDocument/2006/relationships/image" Target="media/image16.png"/><Relationship Id="rId2" Type="http://schemas.openxmlformats.org/officeDocument/2006/relationships/settings" Target="settings.xml"/><Relationship Id="rId19" Type="http://schemas.openxmlformats.org/officeDocument/2006/relationships/image" Target="media/image15.png"/><Relationship Id="rId18" Type="http://schemas.openxmlformats.org/officeDocument/2006/relationships/image" Target="media/image14.png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F5BFA2-C7BC-4B4F-8E96-684E46700F4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22</Pages>
  <Words>758</Words>
  <Characters>797</Characters>
  <Lines>6</Lines>
  <Paragraphs>1</Paragraphs>
  <TotalTime>4</TotalTime>
  <ScaleCrop>false</ScaleCrop>
  <LinksUpToDate>false</LinksUpToDate>
  <CharactersWithSpaces>807</CharactersWithSpaces>
  <Application>WPS Office_11.1.0.12132_F1E327BC-269C-435d-A152-05C5408002CA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2017-03-08T07:26:00Z</dcterms:created>
  <dc:creator>坐席员-046</dc:creator>
  <cp:lastModifiedBy>猫猫</cp:lastModifiedBy>
  <dcterms:modified xsi:type="dcterms:W3CDTF">2022-09-05T08:10:37Z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2052-11.1.0.12132</vt:lpwstr>
  </property>
  <property fmtid="{D5CDD505-2E9C-101B-9397-08002B2CF9AE}" pid="3" name="ICV">
    <vt:lpwstr>AB6E61A512BC4C15AE98239B563BF995</vt:lpwstr>
  </property>
</Properties>
</file>