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-540"/>
        </w:tabs>
        <w:ind w:right="-359" w:rightChars="-171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附件4</w:t>
      </w:r>
    </w:p>
    <w:p>
      <w:pPr>
        <w:spacing w:line="30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ascii="仿宋_GB2312" w:eastAsia="仿宋_GB2312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color w:val="auto"/>
          <w:sz w:val="44"/>
          <w:szCs w:val="44"/>
        </w:rPr>
        <w:t>推荐申报出版机构名单</w:t>
      </w:r>
    </w:p>
    <w:bookmarkEnd w:id="0"/>
    <w:p>
      <w:pPr>
        <w:rPr>
          <w:color w:val="auto"/>
        </w:rPr>
      </w:pPr>
    </w:p>
    <w:p>
      <w:pPr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1.国家一级出版社（具体参见国家新闻出版署网站公布的最新名单）</w:t>
      </w:r>
    </w:p>
    <w:p>
      <w:pPr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2.福建人民出版社、福建科学技术出版社、福建少年儿童出版社、海峡文艺出版社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F51CE"/>
    <w:rsid w:val="6FA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2021-01-21T07:00:00Z</dcterms:created>
  <dc:creator>bonbon</dc:creator>
  <cp:lastModifiedBy>bonbon</cp:lastModifiedBy>
  <dcterms:modified xsi:type="dcterms:W3CDTF">2021-01-21T07:17:18Z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