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00" w:line="240" w:lineRule="auto"/>
        <w:jc w:val="left"/>
        <w:rPr>
          <w:rFonts w:ascii="黑体" w:hAnsi="Times New Roman" w:eastAsia="黑体" w:cs="黑体"/>
          <w:color w:val="9B1015"/>
          <w:sz w:val="32"/>
          <w:szCs w:val="32"/>
        </w:rPr>
      </w:pPr>
      <w:r>
        <w:rPr>
          <w:rFonts w:hint="eastAsia" w:ascii="黑体" w:hAnsi="Times New Roman" w:eastAsia="黑体" w:cs="黑体"/>
          <w:color w:val="9B1015"/>
          <w:sz w:val="32"/>
          <w:szCs w:val="32"/>
        </w:rPr>
        <w:t>科研平台参考示例：</w:t>
      </w:r>
    </w:p>
    <w:p>
      <w:pPr>
        <w:spacing w:before="200" w:after="360" w:line="240" w:lineRule="auto"/>
        <w:jc w:val="center"/>
        <w:rPr>
          <w:rFonts w:ascii="黑体" w:hAnsi="Times New Roman" w:eastAsia="黑体" w:cs="黑体"/>
          <w:color w:val="231F1F"/>
          <w:sz w:val="32"/>
          <w:szCs w:val="50"/>
        </w:rPr>
      </w:pPr>
      <w:r>
        <w:rPr>
          <w:rFonts w:hint="eastAsia" w:ascii="黑体" w:hAnsi="Times New Roman" w:eastAsia="黑体" w:cs="黑体"/>
          <w:color w:val="231F1F"/>
          <w:sz w:val="32"/>
          <w:szCs w:val="50"/>
        </w:rPr>
        <w:t>福建省海洋藻类活性物质制备与功能开发重点实验室</w:t>
      </w:r>
    </w:p>
    <w:p>
      <w:pPr>
        <w:spacing w:before="200" w:line="240" w:lineRule="auto"/>
        <w:ind w:firstLine="440" w:firstLineChars="200"/>
        <w:jc w:val="left"/>
        <w:rPr>
          <w:rFonts w:ascii="宋体" w:hAnsi="Times New Roman" w:eastAsia="宋体" w:cs="宋体"/>
          <w:color w:val="231F1F"/>
          <w:sz w:val="22"/>
        </w:rPr>
      </w:pPr>
      <w:r>
        <w:rPr>
          <w:rFonts w:hint="eastAsia" w:ascii="黑体" w:hAnsi="Times New Roman" w:eastAsia="黑体" w:cs="黑体"/>
          <w:color w:val="9B1015"/>
          <w:sz w:val="22"/>
        </w:rPr>
        <w:t xml:space="preserve">平台负责人： </w:t>
      </w:r>
      <w:r>
        <w:rPr>
          <w:rFonts w:hint="eastAsia" w:ascii="宋体" w:hAnsi="Times New Roman" w:eastAsia="宋体" w:cs="宋体"/>
          <w:color w:val="231F1F"/>
          <w:sz w:val="22"/>
        </w:rPr>
        <w:t>戴聪杰</w:t>
      </w:r>
    </w:p>
    <w:p>
      <w:pPr>
        <w:spacing w:before="200" w:line="240" w:lineRule="auto"/>
        <w:ind w:firstLine="440" w:firstLineChars="200"/>
        <w:jc w:val="left"/>
        <w:rPr>
          <w:rFonts w:ascii="宋体" w:hAnsi="Times New Roman" w:eastAsia="宋体" w:cs="宋体"/>
          <w:color w:val="231F1F"/>
          <w:sz w:val="22"/>
        </w:rPr>
      </w:pPr>
      <w:r>
        <w:rPr>
          <w:rFonts w:hint="eastAsia" w:ascii="黑体" w:hAnsi="Times New Roman" w:eastAsia="黑体" w:cs="黑体"/>
          <w:color w:val="9B1015"/>
          <w:sz w:val="22"/>
        </w:rPr>
        <w:t>批准单位：</w:t>
      </w:r>
      <w:r>
        <w:rPr>
          <w:rFonts w:hint="eastAsia" w:ascii="宋体" w:hAnsi="Times New Roman" w:eastAsia="宋体" w:cs="宋体"/>
          <w:color w:val="231F1F"/>
          <w:sz w:val="22"/>
        </w:rPr>
        <w:t>福建省科学技术厅</w:t>
      </w:r>
    </w:p>
    <w:p>
      <w:pPr>
        <w:spacing w:before="200" w:line="240" w:lineRule="auto"/>
        <w:ind w:firstLine="440" w:firstLineChars="200"/>
        <w:jc w:val="left"/>
        <w:rPr>
          <w:rFonts w:ascii="Times New Roman" w:hAnsi="Times New Roman" w:eastAsia="宋体" w:cs="Times New Roman"/>
          <w:sz w:val="24"/>
          <w:szCs w:val="24"/>
        </w:rPr>
      </w:pPr>
      <w:r>
        <w:rPr>
          <w:rFonts w:hint="eastAsia" w:ascii="黑体" w:hAnsi="Times New Roman" w:eastAsia="黑体" w:cs="黑体"/>
          <w:color w:val="9B1015"/>
          <w:sz w:val="22"/>
        </w:rPr>
        <w:t xml:space="preserve">研究方向： </w:t>
      </w:r>
    </w:p>
    <w:p>
      <w:pPr>
        <w:spacing w:before="200" w:line="240" w:lineRule="auto"/>
        <w:ind w:firstLine="440" w:firstLineChars="200"/>
        <w:jc w:val="left"/>
        <w:rPr>
          <w:rFonts w:ascii="Times New Roman" w:hAnsi="Times New Roman" w:eastAsia="宋体" w:cs="Times New Roman"/>
          <w:sz w:val="24"/>
          <w:szCs w:val="24"/>
        </w:rPr>
      </w:pPr>
      <w:r>
        <w:rPr>
          <w:rFonts w:hint="eastAsia" w:ascii="宋体" w:hAnsi="Times New Roman" w:eastAsia="宋体" w:cs="宋体"/>
          <w:color w:val="231F1F"/>
          <w:sz w:val="22"/>
        </w:rPr>
        <w:t>1、海洋藻类培养及活性物质的发现与制备；</w:t>
      </w:r>
    </w:p>
    <w:p>
      <w:pPr>
        <w:spacing w:before="200" w:line="240" w:lineRule="auto"/>
        <w:ind w:firstLine="440" w:firstLineChars="200"/>
        <w:jc w:val="left"/>
        <w:rPr>
          <w:rFonts w:ascii="Times New Roman" w:hAnsi="Times New Roman" w:eastAsia="宋体" w:cs="Times New Roman"/>
          <w:sz w:val="24"/>
          <w:szCs w:val="24"/>
        </w:rPr>
      </w:pPr>
      <w:r>
        <w:rPr>
          <w:rFonts w:hint="eastAsia" w:ascii="宋体" w:hAnsi="Times New Roman" w:eastAsia="宋体" w:cs="宋体"/>
          <w:color w:val="231F1F"/>
          <w:sz w:val="22"/>
        </w:rPr>
        <w:t>2、海洋活性物质的功能和机制研究；</w:t>
      </w:r>
    </w:p>
    <w:p>
      <w:pPr>
        <w:spacing w:before="200" w:line="240" w:lineRule="auto"/>
        <w:ind w:firstLine="440" w:firstLineChars="200"/>
        <w:jc w:val="left"/>
        <w:rPr>
          <w:rFonts w:ascii="Times New Roman" w:hAnsi="Times New Roman" w:eastAsia="宋体" w:cs="Times New Roman"/>
          <w:sz w:val="24"/>
          <w:szCs w:val="24"/>
        </w:rPr>
      </w:pPr>
      <w:r>
        <w:rPr>
          <w:rFonts w:hint="eastAsia" w:ascii="宋体" w:hAnsi="Times New Roman" w:eastAsia="宋体" w:cs="宋体"/>
          <w:color w:val="231F1F"/>
          <w:sz w:val="22"/>
        </w:rPr>
        <w:t>3、生物绿色催化剂制备及其工业应用；</w:t>
      </w:r>
    </w:p>
    <w:p>
      <w:pPr>
        <w:spacing w:before="200" w:line="240" w:lineRule="auto"/>
        <w:ind w:firstLine="440" w:firstLineChars="200"/>
        <w:jc w:val="left"/>
        <w:rPr>
          <w:rFonts w:ascii="宋体" w:hAnsi="Times New Roman" w:eastAsia="宋体" w:cs="宋体"/>
          <w:color w:val="231F1F"/>
          <w:sz w:val="22"/>
        </w:rPr>
      </w:pPr>
      <w:r>
        <w:rPr>
          <w:rFonts w:hint="eastAsia" w:ascii="宋体" w:hAnsi="Times New Roman" w:eastAsia="宋体" w:cs="宋体"/>
          <w:color w:val="231F1F"/>
          <w:sz w:val="22"/>
        </w:rPr>
        <w:t>4、海洋生物仿生纳米材料。</w:t>
      </w:r>
    </w:p>
    <w:p>
      <w:pPr>
        <w:spacing w:before="200" w:line="240" w:lineRule="auto"/>
        <w:ind w:firstLine="440" w:firstLineChars="200"/>
        <w:jc w:val="left"/>
        <w:rPr>
          <w:rFonts w:ascii="Times New Roman" w:hAnsi="Times New Roman" w:eastAsia="宋体" w:cs="Times New Roman"/>
          <w:sz w:val="24"/>
          <w:szCs w:val="24"/>
        </w:rPr>
      </w:pPr>
      <w:r>
        <w:rPr>
          <w:rFonts w:hint="eastAsia" w:ascii="黑体" w:hAnsi="Times New Roman" w:eastAsia="黑体" w:cs="黑体"/>
          <w:color w:val="9B1015"/>
          <w:sz w:val="22"/>
        </w:rPr>
        <w:t>主要对接产业：</w:t>
      </w:r>
      <w:r>
        <w:rPr>
          <w:rFonts w:hint="eastAsia" w:ascii="宋体" w:hAnsi="Times New Roman" w:eastAsia="宋体" w:cs="宋体"/>
          <w:color w:val="231F1F"/>
          <w:sz w:val="22"/>
        </w:rPr>
        <w:t>海洋藻类提取物、</w:t>
      </w:r>
      <w:r>
        <w:rPr>
          <w:rFonts w:ascii="宋体" w:hAnsi="Times New Roman" w:eastAsia="宋体" w:cs="宋体"/>
          <w:color w:val="231F1F"/>
          <w:sz w:val="22"/>
        </w:rPr>
        <w:t>水产及制品</w:t>
      </w:r>
      <w:r>
        <w:rPr>
          <w:rFonts w:hint="eastAsia" w:ascii="宋体" w:hAnsi="Times New Roman" w:eastAsia="宋体" w:cs="宋体"/>
          <w:color w:val="231F1F"/>
          <w:sz w:val="22"/>
        </w:rPr>
        <w:t>、</w:t>
      </w:r>
      <w:r>
        <w:rPr>
          <w:rFonts w:ascii="宋体" w:hAnsi="Times New Roman" w:eastAsia="宋体" w:cs="宋体"/>
          <w:color w:val="231F1F"/>
          <w:sz w:val="22"/>
        </w:rPr>
        <w:t>食品添加剂等</w:t>
      </w:r>
    </w:p>
    <w:p>
      <w:pPr>
        <w:spacing w:before="200" w:line="240" w:lineRule="auto"/>
        <w:ind w:firstLine="440" w:firstLineChars="200"/>
        <w:jc w:val="left"/>
        <w:rPr>
          <w:rFonts w:ascii="Times New Roman" w:hAnsi="Times New Roman" w:eastAsia="宋体" w:cs="Times New Roman"/>
          <w:sz w:val="24"/>
          <w:szCs w:val="24"/>
        </w:rPr>
      </w:pPr>
      <w:r>
        <w:rPr>
          <w:rFonts w:hint="eastAsia" w:ascii="黑体" w:hAnsi="Times New Roman" w:eastAsia="黑体" w:cs="黑体"/>
          <w:color w:val="9B1015"/>
          <w:sz w:val="22"/>
        </w:rPr>
        <w:t>平台简介： </w:t>
      </w:r>
    </w:p>
    <w:p>
      <w:pPr>
        <w:spacing w:before="200" w:line="240" w:lineRule="auto"/>
        <w:ind w:firstLine="440" w:firstLineChars="200"/>
        <w:rPr>
          <w:rFonts w:ascii="Times New Roman" w:hAnsi="Times New Roman" w:eastAsia="宋体" w:cs="Times New Roman"/>
          <w:sz w:val="24"/>
          <w:szCs w:val="24"/>
        </w:rPr>
      </w:pPr>
      <w:r>
        <w:rPr>
          <w:rFonts w:hint="eastAsia" w:ascii="宋体" w:hAnsi="Times New Roman" w:eastAsia="宋体" w:cs="宋体"/>
          <w:color w:val="231F1F"/>
          <w:sz w:val="22"/>
        </w:rPr>
        <w:t>海洋藻</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类活性物质制备与功能开发福建省</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重点实验室依托泉州师范学院海洋</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与食品学院，是福建</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省科学技术厅2015年12月发文认定</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建设的重点实验室。海洋藻类活性物质制</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备和功能开发重点</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实验室整体科研实力在国内同行中</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处于先进地位，具有承担国家或省</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级重大科研任务的能力，</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其中在海洋生物活性物质提取、海</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洋甲壳多糖衍生物产业化开发、生</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物绿色催化剂制备及其工</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业应用、海洋仿生纳米材料等方面</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研究水平居国内领先或先进水平。</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目前，实验室研究工作基础扎实，取得了优异的科研成果，并带来了明显的社会经济效益及环境效益。</w:t>
      </w:r>
    </w:p>
    <w:p>
      <w:pPr>
        <w:spacing w:before="200" w:line="240" w:lineRule="auto"/>
        <w:ind w:firstLine="440" w:firstLineChars="200"/>
        <w:rPr>
          <w:rFonts w:ascii="Times New Roman" w:hAnsi="Times New Roman" w:eastAsia="宋体" w:cs="Times New Roman"/>
          <w:sz w:val="24"/>
          <w:szCs w:val="24"/>
        </w:rPr>
      </w:pPr>
      <w:r>
        <w:rPr>
          <w:rFonts w:hint="eastAsia" w:ascii="宋体" w:hAnsi="Times New Roman" w:eastAsia="宋体" w:cs="宋体"/>
          <w:color w:val="231F1F"/>
          <w:sz w:val="22"/>
        </w:rPr>
        <w:t>实验室</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占地面积近1100㎡，累计投入近1000万。目前建成了海洋藻类培养室、</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海洋藻类分离</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室、海</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洋藻类</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保种室</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、海洋</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活性物</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质制</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备室和</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海洋活</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性物质</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检测室</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。现有</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固定科</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研人员</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26人</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，其中教授12人，副教</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授及高级实</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验师5人，讲师9人，取</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得博士学位</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者16人，占</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62%。流动人</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员中9人，其中，</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“闽江学者</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讲座教授”</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2人</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；“清源学</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者讲座教授</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”2人</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；外聘企业</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 xml:space="preserve">校外导师3人；台湾引进高层次人才2人。 </w:t>
      </w:r>
    </w:p>
    <w:p>
      <w:pPr>
        <w:spacing w:before="200" w:line="240" w:lineRule="auto"/>
        <w:ind w:firstLine="440" w:firstLineChars="200"/>
        <w:rPr>
          <w:rFonts w:ascii="黑体" w:hAnsi="Times New Roman" w:eastAsia="黑体" w:cs="黑体"/>
          <w:color w:val="9B1015"/>
          <w:sz w:val="22"/>
        </w:rPr>
        <w:sectPr>
          <w:pgSz w:w="11900" w:h="12560"/>
          <w:pgMar w:top="1440" w:right="1000" w:bottom="1702" w:left="1400" w:header="720" w:footer="720" w:gutter="0"/>
          <w:cols w:space="720" w:num="1"/>
        </w:sectPr>
      </w:pPr>
      <w:r>
        <w:rPr>
          <w:rFonts w:hint="eastAsia" w:ascii="宋体" w:hAnsi="Times New Roman" w:eastAsia="宋体" w:cs="宋体"/>
          <w:color w:val="231F1F"/>
          <w:sz w:val="22"/>
        </w:rPr>
        <w:t>实</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验室瞄</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准与</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活性物</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质有关</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的重大</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科学</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问题，</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直面福</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建省对</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海洋</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资源开</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发利用</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的重大</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需求，基</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础研究主攻海洋生物活性物质的功</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能与机制，应用研究注重海洋资源</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利用和海洋功能食品开发</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关键技术。实验室通过承担重大项</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目凝聚人才、打造创新团队，做出</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高水平成果；通过国际合</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作等措施，提升技术开发能力和培</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养年轻人才；努力把实验室建设成</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为国内知名的海洋活性物</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质利用的基础研究和工程技术开发</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利用的中心。累计承担国家或省部</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级重点项目等50项余</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项，全部项</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目总金额达</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600余万。目前</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正在研究的</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主要项目有</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：以雨生红</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球藻为模式</w:t>
      </w:r>
      <w:r>
        <w:rPr>
          <w:rFonts w:hint="eastAsia" w:ascii="宋体" w:hAnsi="Times New Roman" w:eastAsia="宋体" w:cs="宋体"/>
          <w:color w:val="231F1F"/>
          <w:sz w:val="4"/>
          <w:szCs w:val="4"/>
        </w:rPr>
        <w:t xml:space="preserve"> </w:t>
      </w:r>
      <w:r>
        <w:rPr>
          <w:rFonts w:hint="eastAsia" w:ascii="宋体" w:hAnsi="Times New Roman" w:eastAsia="宋体" w:cs="宋体"/>
          <w:color w:val="231F1F"/>
          <w:sz w:val="22"/>
        </w:rPr>
        <w:t>的产虾青素微藻在高光下的碳分配机制，高纯度辣木酚的制备、活性评价及微胶囊化等。</w:t>
      </w:r>
      <w:r>
        <w:rPr>
          <w:rFonts w:hint="eastAsia" w:ascii="黑体" w:hAnsi="Times New Roman" w:eastAsia="黑体" w:cs="黑体"/>
          <w:color w:val="9B1015"/>
          <w:sz w:val="22"/>
        </w:rPr>
        <w:drawing>
          <wp:anchor distT="0" distB="0" distL="114300" distR="114300" simplePos="0" relativeHeight="251665408" behindDoc="1" locked="0" layoutInCell="1" allowOverlap="1">
            <wp:simplePos x="0" y="0"/>
            <wp:positionH relativeFrom="page">
              <wp:posOffset>4965700</wp:posOffset>
            </wp:positionH>
            <wp:positionV relativeFrom="page">
              <wp:posOffset>3248025</wp:posOffset>
            </wp:positionV>
            <wp:extent cx="1866900" cy="1400175"/>
            <wp:effectExtent l="19050" t="0" r="0" b="0"/>
            <wp:wrapNone/>
            <wp:docPr id="1"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2"/>
                    <pic:cNvPicPr>
                      <a:picLocks noChangeAspect="1" noChangeArrowheads="1"/>
                    </pic:cNvPicPr>
                  </pic:nvPicPr>
                  <pic:blipFill>
                    <a:blip r:embed="rId4" cstate="print"/>
                    <a:srcRect/>
                    <a:stretch>
                      <a:fillRect/>
                    </a:stretch>
                  </pic:blipFill>
                  <pic:spPr>
                    <a:xfrm>
                      <a:off x="0" y="0"/>
                      <a:ext cx="1866900" cy="1400175"/>
                    </a:xfrm>
                    <a:prstGeom prst="rect">
                      <a:avLst/>
                    </a:prstGeom>
                    <a:noFill/>
                    <a:ln w="9525" cmpd="sng">
                      <a:noFill/>
                      <a:miter lim="800000"/>
                      <a:headEnd/>
                      <a:tailEnd/>
                    </a:ln>
                  </pic:spPr>
                </pic:pic>
              </a:graphicData>
            </a:graphic>
          </wp:anchor>
        </w:drawing>
      </w:r>
      <w:r>
        <w:rPr>
          <w:rFonts w:hint="eastAsia" w:ascii="黑体" w:hAnsi="Times New Roman" w:eastAsia="黑体" w:cs="黑体"/>
          <w:color w:val="9B1015"/>
          <w:sz w:val="22"/>
        </w:rPr>
        <w:drawing>
          <wp:anchor distT="0" distB="0" distL="114300" distR="114300" simplePos="0" relativeHeight="251662336" behindDoc="1" locked="0" layoutInCell="1" allowOverlap="1">
            <wp:simplePos x="0" y="0"/>
            <wp:positionH relativeFrom="page">
              <wp:posOffset>3048000</wp:posOffset>
            </wp:positionH>
            <wp:positionV relativeFrom="page">
              <wp:posOffset>4981575</wp:posOffset>
            </wp:positionV>
            <wp:extent cx="3784600" cy="1371600"/>
            <wp:effectExtent l="19050" t="0" r="6350" b="0"/>
            <wp:wrapNone/>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noChangeArrowheads="1"/>
                    </pic:cNvPicPr>
                  </pic:nvPicPr>
                  <pic:blipFill>
                    <a:blip r:embed="rId5" cstate="print"/>
                    <a:srcRect/>
                    <a:stretch>
                      <a:fillRect/>
                    </a:stretch>
                  </pic:blipFill>
                  <pic:spPr>
                    <a:xfrm>
                      <a:off x="0" y="0"/>
                      <a:ext cx="3784600" cy="1371600"/>
                    </a:xfrm>
                    <a:prstGeom prst="rect">
                      <a:avLst/>
                    </a:prstGeom>
                    <a:noFill/>
                    <a:ln w="9525" cmpd="sng">
                      <a:noFill/>
                      <a:miter lim="800000"/>
                      <a:headEnd/>
                      <a:tailEnd/>
                    </a:ln>
                  </pic:spPr>
                </pic:pic>
              </a:graphicData>
            </a:graphic>
          </wp:anchor>
        </w:drawing>
      </w:r>
      <w:r>
        <w:rPr>
          <w:rFonts w:hint="eastAsia" w:ascii="黑体" w:hAnsi="Times New Roman" w:eastAsia="黑体" w:cs="黑体"/>
          <w:color w:val="9B1015"/>
          <w:sz w:val="22"/>
        </w:rPr>
        <w:drawing>
          <wp:anchor distT="0" distB="0" distL="114300" distR="114300" simplePos="0" relativeHeight="251664384" behindDoc="1" locked="0" layoutInCell="1" allowOverlap="1">
            <wp:simplePos x="0" y="0"/>
            <wp:positionH relativeFrom="page">
              <wp:posOffset>981075</wp:posOffset>
            </wp:positionH>
            <wp:positionV relativeFrom="page">
              <wp:posOffset>3286125</wp:posOffset>
            </wp:positionV>
            <wp:extent cx="3800475" cy="1362075"/>
            <wp:effectExtent l="19050" t="0" r="9525" b="0"/>
            <wp:wrapNone/>
            <wp:docPr id="2"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1"/>
                    <pic:cNvPicPr>
                      <a:picLocks noChangeAspect="1" noChangeArrowheads="1"/>
                    </pic:cNvPicPr>
                  </pic:nvPicPr>
                  <pic:blipFill>
                    <a:blip r:embed="rId6" cstate="print"/>
                    <a:srcRect/>
                    <a:stretch>
                      <a:fillRect/>
                    </a:stretch>
                  </pic:blipFill>
                  <pic:spPr>
                    <a:xfrm>
                      <a:off x="0" y="0"/>
                      <a:ext cx="3800475" cy="1362075"/>
                    </a:xfrm>
                    <a:prstGeom prst="rect">
                      <a:avLst/>
                    </a:prstGeom>
                    <a:noFill/>
                    <a:ln w="9525" cmpd="sng">
                      <a:noFill/>
                      <a:miter lim="800000"/>
                      <a:headEnd/>
                      <a:tailEnd/>
                    </a:ln>
                  </pic:spPr>
                </pic:pic>
              </a:graphicData>
            </a:graphic>
          </wp:anchor>
        </w:drawing>
      </w:r>
      <w:r>
        <w:rPr>
          <w:rFonts w:hint="eastAsia" w:ascii="黑体" w:hAnsi="Times New Roman" w:eastAsia="黑体" w:cs="黑体"/>
          <w:color w:val="9B1015"/>
          <w:sz w:val="22"/>
        </w:rPr>
        <w:drawing>
          <wp:anchor distT="0" distB="0" distL="114300" distR="114300" simplePos="0" relativeHeight="251661312" behindDoc="1" locked="0" layoutInCell="1" allowOverlap="1">
            <wp:simplePos x="0" y="0"/>
            <wp:positionH relativeFrom="page">
              <wp:posOffset>1038225</wp:posOffset>
            </wp:positionH>
            <wp:positionV relativeFrom="page">
              <wp:posOffset>4981575</wp:posOffset>
            </wp:positionV>
            <wp:extent cx="1866900" cy="1371600"/>
            <wp:effectExtent l="19050" t="0" r="0" b="0"/>
            <wp:wrapNone/>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noChangeArrowheads="1"/>
                    </pic:cNvPicPr>
                  </pic:nvPicPr>
                  <pic:blipFill>
                    <a:blip r:embed="rId7" cstate="print"/>
                    <a:srcRect/>
                    <a:stretch>
                      <a:fillRect/>
                    </a:stretch>
                  </pic:blipFill>
                  <pic:spPr>
                    <a:xfrm>
                      <a:off x="0" y="0"/>
                      <a:ext cx="1866900" cy="1371600"/>
                    </a:xfrm>
                    <a:prstGeom prst="rect">
                      <a:avLst/>
                    </a:prstGeom>
                    <a:noFill/>
                    <a:ln w="9525" cmpd="sng">
                      <a:noFill/>
                      <a:miter lim="800000"/>
                      <a:headEnd/>
                      <a:tailEnd/>
                    </a:ln>
                  </pic:spPr>
                </pic:pic>
              </a:graphicData>
            </a:graphic>
          </wp:anchor>
        </w:drawing>
      </w:r>
    </w:p>
    <w:p>
      <w:pPr>
        <w:spacing w:before="200" w:line="240" w:lineRule="auto"/>
        <w:jc w:val="left"/>
        <w:rPr>
          <w:rFonts w:ascii="黑体" w:hAnsi="Times New Roman" w:eastAsia="黑体" w:cs="黑体"/>
          <w:color w:val="9B1015"/>
          <w:sz w:val="32"/>
          <w:szCs w:val="32"/>
        </w:rPr>
      </w:pPr>
      <w:r>
        <w:rPr>
          <w:rFonts w:hint="eastAsia" w:ascii="黑体" w:hAnsi="Times New Roman" w:eastAsia="黑体" w:cs="黑体"/>
          <w:color w:val="9B1015"/>
          <w:sz w:val="32"/>
          <w:szCs w:val="32"/>
        </w:rPr>
        <w:t>科技成果参考示例：</w:t>
      </w:r>
      <w:bookmarkStart w:id="0" w:name="_GoBack"/>
      <w:bookmarkEnd w:id="0"/>
    </w:p>
    <w:p>
      <w:pPr>
        <w:spacing w:before="200" w:line="240" w:lineRule="auto"/>
        <w:ind w:firstLine="440" w:firstLineChars="200"/>
        <w:jc w:val="left"/>
        <w:rPr>
          <w:rFonts w:hint="eastAsia" w:ascii="宋体" w:hAnsi="Times New Roman" w:eastAsia="宋体" w:cs="宋体"/>
          <w:color w:val="231F1F"/>
          <w:sz w:val="22"/>
          <w:lang w:eastAsia="zh-CN"/>
        </w:rPr>
      </w:pPr>
      <w:r>
        <w:rPr>
          <w:rFonts w:hint="eastAsia" w:ascii="黑体" w:hAnsi="Times New Roman" w:eastAsia="黑体" w:cs="黑体"/>
          <w:color w:val="9B1015"/>
          <w:sz w:val="22"/>
        </w:rPr>
        <w:t>成果名称</w:t>
      </w:r>
      <w:r>
        <w:rPr>
          <w:rFonts w:hint="eastAsia" w:ascii="宋体" w:hAnsi="Times New Roman" w:eastAsia="宋体" w:cs="宋体"/>
          <w:color w:val="231F1F"/>
          <w:sz w:val="22"/>
        </w:rPr>
        <w:t>：一种蛋壳载银复合纳米材料的制备方法和应用</w:t>
      </w:r>
      <w:r>
        <w:rPr>
          <w:rFonts w:hint="eastAsia" w:ascii="宋体" w:hAnsi="Times New Roman" w:eastAsia="宋体" w:cs="宋体"/>
          <w:color w:val="231F1F"/>
          <w:sz w:val="22"/>
          <w:highlight w:val="yellow"/>
          <w:lang w:eastAsia="zh-CN"/>
        </w:rPr>
        <w:t>（拟参展）</w:t>
      </w:r>
    </w:p>
    <w:p>
      <w:pPr>
        <w:spacing w:before="200" w:line="240" w:lineRule="auto"/>
        <w:ind w:firstLine="440" w:firstLineChars="200"/>
        <w:jc w:val="left"/>
        <w:rPr>
          <w:rFonts w:ascii="宋体" w:hAnsi="Times New Roman" w:eastAsia="宋体" w:cs="宋体"/>
          <w:color w:val="231F1F"/>
          <w:sz w:val="22"/>
        </w:rPr>
      </w:pPr>
      <w:r>
        <w:rPr>
          <w:rFonts w:hint="eastAsia" w:ascii="黑体" w:hAnsi="Times New Roman" w:eastAsia="黑体" w:cs="黑体"/>
          <w:color w:val="9B1015"/>
          <w:sz w:val="22"/>
        </w:rPr>
        <w:t>研发人员</w:t>
      </w:r>
      <w:r>
        <w:rPr>
          <w:rFonts w:hint="eastAsia" w:ascii="宋体" w:hAnsi="Times New Roman" w:eastAsia="宋体" w:cs="宋体"/>
          <w:color w:val="231F1F"/>
          <w:sz w:val="22"/>
        </w:rPr>
        <w:t>：杨大鹏</w:t>
      </w:r>
    </w:p>
    <w:p>
      <w:pPr>
        <w:spacing w:before="200" w:line="240" w:lineRule="auto"/>
        <w:ind w:firstLine="440" w:firstLineChars="200"/>
        <w:jc w:val="left"/>
        <w:rPr>
          <w:rFonts w:ascii="黑体" w:hAnsi="Times New Roman" w:eastAsia="黑体" w:cs="黑体"/>
          <w:color w:val="9B1015"/>
          <w:sz w:val="22"/>
        </w:rPr>
      </w:pPr>
      <w:r>
        <w:rPr>
          <w:rFonts w:hint="eastAsia" w:ascii="黑体" w:hAnsi="Times New Roman" w:eastAsia="黑体" w:cs="黑体"/>
          <w:color w:val="9B1015"/>
          <w:sz w:val="22"/>
        </w:rPr>
        <w:t>所属领域：</w:t>
      </w:r>
      <w:r>
        <w:rPr>
          <w:rFonts w:hint="eastAsia" w:ascii="宋体" w:hAnsi="Times New Roman" w:eastAsia="宋体" w:cs="宋体"/>
          <w:color w:val="231F1F"/>
          <w:sz w:val="22"/>
        </w:rPr>
        <w:t>材料化学</w:t>
      </w:r>
    </w:p>
    <w:p>
      <w:pPr>
        <w:spacing w:before="200" w:line="240" w:lineRule="auto"/>
        <w:ind w:firstLine="440" w:firstLineChars="200"/>
        <w:jc w:val="left"/>
        <w:rPr>
          <w:rFonts w:ascii="宋体" w:hAnsi="Times New Roman" w:eastAsia="宋体" w:cs="宋体"/>
          <w:color w:val="231F1F"/>
          <w:sz w:val="22"/>
        </w:rPr>
      </w:pPr>
      <w:r>
        <w:rPr>
          <w:rFonts w:hint="eastAsia" w:ascii="黑体" w:hAnsi="Times New Roman" w:eastAsia="黑体" w:cs="黑体"/>
          <w:color w:val="9B1015"/>
          <w:sz w:val="22"/>
        </w:rPr>
        <w:t>完成单位</w:t>
      </w:r>
      <w:r>
        <w:rPr>
          <w:rFonts w:hint="eastAsia" w:ascii="宋体" w:hAnsi="Times New Roman" w:eastAsia="宋体" w:cs="宋体"/>
          <w:color w:val="231F1F"/>
          <w:sz w:val="22"/>
        </w:rPr>
        <w:t>：泉州师范学院</w:t>
      </w:r>
    </w:p>
    <w:p>
      <w:pPr>
        <w:spacing w:before="200" w:line="240" w:lineRule="auto"/>
        <w:ind w:firstLine="440" w:firstLineChars="200"/>
        <w:jc w:val="left"/>
        <w:rPr>
          <w:rFonts w:ascii="宋体" w:hAnsi="Times New Roman" w:eastAsia="宋体" w:cs="宋体"/>
          <w:color w:val="231F1F"/>
          <w:sz w:val="22"/>
        </w:rPr>
      </w:pPr>
      <w:r>
        <w:rPr>
          <w:rFonts w:hint="eastAsia" w:ascii="黑体" w:hAnsi="Times New Roman" w:eastAsia="黑体" w:cs="黑体"/>
          <w:color w:val="9B1015"/>
          <w:sz w:val="22"/>
        </w:rPr>
        <w:t>项目简介</w:t>
      </w:r>
      <w:r>
        <w:rPr>
          <w:rFonts w:hint="eastAsia" w:ascii="宋体" w:hAnsi="Times New Roman" w:eastAsia="宋体" w:cs="宋体"/>
          <w:color w:val="231F1F"/>
          <w:sz w:val="22"/>
        </w:rPr>
        <w:t>：</w:t>
      </w:r>
    </w:p>
    <w:p>
      <w:pPr>
        <w:spacing w:before="200" w:line="240" w:lineRule="auto"/>
        <w:ind w:firstLine="440" w:firstLineChars="200"/>
        <w:jc w:val="left"/>
        <w:rPr>
          <w:rFonts w:hint="eastAsia" w:ascii="宋体" w:hAnsi="Times New Roman" w:eastAsia="宋体" w:cs="宋体"/>
          <w:color w:val="231F1F"/>
          <w:sz w:val="22"/>
        </w:rPr>
      </w:pPr>
      <w:r>
        <w:rPr>
          <w:rFonts w:hint="eastAsia" w:ascii="宋体" w:hAnsi="Times New Roman" w:eastAsia="宋体" w:cs="宋体"/>
          <w:color w:val="231F1F"/>
          <w:sz w:val="22"/>
        </w:rPr>
        <w:t>中国是世界鸡蛋生产和消费大国，年产约3000万吨，占世界总产量的三分之一。其中，蛋壳（主要成分是碳酸钙）重量占禽蛋总重量的10%-12%。我国每年生产300多万吨废弃鸡蛋壳，大部分采用填埋方式进行处理。不仅污染了环境，也浪费了蛋壳资源。</w:t>
      </w:r>
    </w:p>
    <w:p>
      <w:pPr>
        <w:spacing w:before="200" w:line="240" w:lineRule="auto"/>
        <w:ind w:firstLine="440" w:firstLineChars="200"/>
        <w:jc w:val="left"/>
        <w:rPr>
          <w:rFonts w:ascii="宋体" w:hAnsi="Times New Roman" w:eastAsia="宋体" w:cs="宋体"/>
          <w:color w:val="231F1F"/>
          <w:sz w:val="22"/>
        </w:rPr>
      </w:pPr>
      <w:r>
        <w:rPr>
          <w:rFonts w:hint="eastAsia" w:ascii="宋体" w:hAnsi="Times New Roman" w:eastAsia="宋体" w:cs="宋体"/>
          <w:color w:val="231F1F"/>
          <w:sz w:val="22"/>
        </w:rPr>
        <w:t>该成果是利用纳米技术，在室温、水相条件下在废弃鸡蛋壳表面负载均一粒径大小的银纳米粒子形成复合纳米材料。其中，鸡蛋壳和银纳米粒子的粒径均可进行精确调控。对于确定粒径的银纳米粒子，对各类细菌都有强烈的抑制和杀灭作用（图1），而且不会产生耐药性。我们的制备技术具有绿色环保，工艺简单，反应温和，制备周期短，成本低廉，产物具有物理性能稳定的特点，且有良好的溶液分散性及生物相容性。该技术“变废为宝”，所得的复合纳米材料可应用于抗菌、催化等领域。</w:t>
      </w:r>
    </w:p>
    <w:p>
      <w:pPr>
        <w:spacing w:before="200" w:line="240" w:lineRule="auto"/>
        <w:ind w:firstLine="440" w:firstLineChars="200"/>
        <w:jc w:val="left"/>
        <w:rPr>
          <w:rFonts w:hint="eastAsia" w:ascii="宋体" w:hAnsi="Times New Roman" w:eastAsia="宋体" w:cs="宋体"/>
          <w:color w:val="231F1F"/>
          <w:sz w:val="22"/>
        </w:rPr>
      </w:pPr>
      <w:r>
        <w:rPr>
          <w:rFonts w:ascii="宋体" w:hAnsi="Times New Roman" w:eastAsia="宋体" w:cs="宋体"/>
          <w:color w:val="231F1F"/>
          <w:sz w:val="22"/>
        </w:rPr>
        <w:drawing>
          <wp:inline distT="0" distB="0" distL="0" distR="0">
            <wp:extent cx="4622800" cy="2362200"/>
            <wp:effectExtent l="0" t="0" r="0" b="0"/>
            <wp:docPr id="10241" name="图片 3" descr="图片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1" name="图片 3" descr="图片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620575" cy="2361627"/>
                    </a:xfrm>
                    <a:prstGeom prst="rect">
                      <a:avLst/>
                    </a:prstGeom>
                    <a:noFill/>
                    <a:ln>
                      <a:noFill/>
                    </a:ln>
                  </pic:spPr>
                </pic:pic>
              </a:graphicData>
            </a:graphic>
          </wp:inline>
        </w:drawing>
      </w:r>
    </w:p>
    <w:p>
      <w:pPr>
        <w:spacing w:before="200" w:line="240" w:lineRule="auto"/>
        <w:ind w:firstLine="440" w:firstLineChars="200"/>
        <w:jc w:val="left"/>
        <w:rPr>
          <w:rFonts w:ascii="宋体" w:hAnsi="Times New Roman" w:eastAsia="宋体" w:cs="宋体"/>
          <w:color w:val="231F1F"/>
          <w:sz w:val="22"/>
        </w:rPr>
      </w:pPr>
      <w:r>
        <w:rPr>
          <w:rFonts w:hint="eastAsia" w:ascii="宋体" w:hAnsi="Times New Roman" w:eastAsia="宋体" w:cs="宋体"/>
          <w:color w:val="231F1F"/>
          <w:sz w:val="22"/>
        </w:rPr>
        <w:t>图1：鸡蛋壳负载的银纳米粒子对大肠杆菌（a）和金黄色葡萄球菌的抑菌实验效果图。</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等线">
    <w:altName w:val="Arial Unicode MS"/>
    <w:panose1 w:val="00000000000000000000"/>
    <w:charset w:val="86"/>
    <w:family w:val="auto"/>
    <w:pitch w:val="default"/>
    <w:sig w:usb0="00000000" w:usb1="00000000" w:usb2="00000016" w:usb3="00000000" w:csb0="0004000F" w:csb1="00000000"/>
  </w:font>
  <w:font w:name="等线">
    <w:altName w:val="宋体"/>
    <w:panose1 w:val="00000000000000000000"/>
    <w:charset w:val="86"/>
    <w:family w:val="auto"/>
    <w:pitch w:val="default"/>
    <w:sig w:usb0="00000000" w:usb1="00000000" w:usb2="00000000" w:usb3="00000000" w:csb0="00000000" w:csb1="00000000"/>
  </w:font>
  <w:font w:name="等线">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DF6D61"/>
    <w:rsid w:val="00005949"/>
    <w:rsid w:val="000C4EEA"/>
    <w:rsid w:val="00121350"/>
    <w:rsid w:val="001311B9"/>
    <w:rsid w:val="00141B40"/>
    <w:rsid w:val="00175F6C"/>
    <w:rsid w:val="002630AD"/>
    <w:rsid w:val="002814B5"/>
    <w:rsid w:val="002830D3"/>
    <w:rsid w:val="002A7ECA"/>
    <w:rsid w:val="003458EB"/>
    <w:rsid w:val="0037679B"/>
    <w:rsid w:val="00382973"/>
    <w:rsid w:val="003F7F32"/>
    <w:rsid w:val="00426CB9"/>
    <w:rsid w:val="004519AC"/>
    <w:rsid w:val="00543DAC"/>
    <w:rsid w:val="0058189F"/>
    <w:rsid w:val="005A2D86"/>
    <w:rsid w:val="005B50F3"/>
    <w:rsid w:val="00627EC6"/>
    <w:rsid w:val="0064044C"/>
    <w:rsid w:val="00682AA7"/>
    <w:rsid w:val="00691438"/>
    <w:rsid w:val="006B55D0"/>
    <w:rsid w:val="006C4435"/>
    <w:rsid w:val="00724973"/>
    <w:rsid w:val="0076635B"/>
    <w:rsid w:val="00795B52"/>
    <w:rsid w:val="007D711E"/>
    <w:rsid w:val="007F026C"/>
    <w:rsid w:val="0081441E"/>
    <w:rsid w:val="00855BC9"/>
    <w:rsid w:val="008711A7"/>
    <w:rsid w:val="009351C7"/>
    <w:rsid w:val="009572D0"/>
    <w:rsid w:val="009E6BE1"/>
    <w:rsid w:val="00A2392C"/>
    <w:rsid w:val="00A32B67"/>
    <w:rsid w:val="00B55CBB"/>
    <w:rsid w:val="00B664FE"/>
    <w:rsid w:val="00C00AD4"/>
    <w:rsid w:val="00CF5DD3"/>
    <w:rsid w:val="00D549BD"/>
    <w:rsid w:val="00DD3B32"/>
    <w:rsid w:val="00DF08D3"/>
    <w:rsid w:val="00DF6D61"/>
    <w:rsid w:val="00F22AE6"/>
    <w:rsid w:val="00F23E13"/>
    <w:rsid w:val="00FB0176"/>
    <w:rsid w:val="1D7E201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unhideWhenUsed/>
    <w:uiPriority w:val="1"/>
  </w:style>
  <w:style w:type="table" w:default="1" w:styleId="6">
    <w:name w:val="Normal Table"/>
    <w:semiHidden/>
    <w:unhideWhenUsed/>
    <w:uiPriority w:val="99"/>
    <w:tblPr>
      <w:tblLayout w:type="fixed"/>
      <w:tblCellMar>
        <w:top w:w="0" w:type="dxa"/>
        <w:left w:w="108" w:type="dxa"/>
        <w:bottom w:w="0" w:type="dxa"/>
        <w:right w:w="108" w:type="dxa"/>
      </w:tblCellMar>
    </w:tblPr>
  </w:style>
  <w:style w:type="paragraph" w:styleId="2">
    <w:name w:val="Balloon Text"/>
    <w:basedOn w:val="1"/>
    <w:link w:val="10"/>
    <w:semiHidden/>
    <w:unhideWhenUsed/>
    <w:qFormat/>
    <w:uiPriority w:val="99"/>
    <w:pPr>
      <w:spacing w:after="0" w:line="240" w:lineRule="auto"/>
    </w:pPr>
    <w:rPr>
      <w:sz w:val="18"/>
      <w:szCs w:val="18"/>
    </w:rPr>
  </w:style>
  <w:style w:type="paragraph" w:styleId="3">
    <w:name w:val="footer"/>
    <w:basedOn w:val="1"/>
    <w:link w:val="8"/>
    <w:unhideWhenUsed/>
    <w:uiPriority w:val="99"/>
    <w:pPr>
      <w:tabs>
        <w:tab w:val="center" w:pos="4153"/>
        <w:tab w:val="right" w:pos="8306"/>
      </w:tabs>
      <w:snapToGrid w:val="0"/>
      <w:jc w:val="left"/>
    </w:pPr>
    <w:rPr>
      <w:sz w:val="18"/>
      <w:szCs w:val="18"/>
    </w:rPr>
  </w:style>
  <w:style w:type="paragraph" w:styleId="4">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5"/>
    <w:link w:val="4"/>
    <w:uiPriority w:val="99"/>
    <w:rPr>
      <w:sz w:val="18"/>
      <w:szCs w:val="18"/>
    </w:rPr>
  </w:style>
  <w:style w:type="character" w:customStyle="1" w:styleId="8">
    <w:name w:val="页脚 Char"/>
    <w:basedOn w:val="5"/>
    <w:link w:val="3"/>
    <w:qFormat/>
    <w:uiPriority w:val="99"/>
    <w:rPr>
      <w:sz w:val="18"/>
      <w:szCs w:val="18"/>
    </w:rPr>
  </w:style>
  <w:style w:type="paragraph" w:styleId="9">
    <w:name w:val="List Paragraph"/>
    <w:basedOn w:val="1"/>
    <w:qFormat/>
    <w:uiPriority w:val="34"/>
    <w:pPr>
      <w:ind w:firstLine="420" w:firstLineChars="200"/>
    </w:pPr>
  </w:style>
  <w:style w:type="character" w:customStyle="1" w:styleId="10">
    <w:name w:val="批注框文本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14557EE-C4FF-48E5-9484-E634BB31F059}">
  <ds:schemaRefs/>
</ds:datastoreItem>
</file>

<file path=docProps/app.xml><?xml version="1.0" encoding="utf-8"?>
<Properties xmlns="http://schemas.openxmlformats.org/officeDocument/2006/extended-properties" xmlns:vt="http://schemas.openxmlformats.org/officeDocument/2006/docPropsVTypes">
  <Template>Normal.dotm</Template>
  <Pages>3</Pages>
  <Words>212</Words>
  <Characters>1213</Characters>
  <Lines>10</Lines>
  <Paragraphs>2</Paragraphs>
  <TotalTime>138</TotalTime>
  <ScaleCrop>false</ScaleCrop>
  <LinksUpToDate>false</LinksUpToDate>
  <CharactersWithSpaces>1423</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2018-10-18T12:40:00Z</dcterms:created>
  <dc:creator>Ricky</dc:creator>
  <cp:lastModifiedBy>任晓敏</cp:lastModifiedBy>
  <dcterms:modified xsi:type="dcterms:W3CDTF">2019-04-02T08:42:02Z</dcterms:modified>
  <cp:revision>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