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8DA1D">
      <w:pPr>
        <w:ind w:firstLine="1572"/>
        <w:rPr>
          <w:rFonts w:hint="eastAsia" w:ascii="宋体" w:hAnsi="宋体"/>
          <w:b/>
          <w:color w:val="auto"/>
          <w:w w:val="150"/>
          <w:sz w:val="52"/>
          <w:highlight w:val="none"/>
        </w:rPr>
      </w:pPr>
    </w:p>
    <w:p w14:paraId="4351B182">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2B293AF2">
      <w:pPr>
        <w:rPr>
          <w:rFonts w:hint="eastAsia" w:ascii="宋体" w:hAnsi="宋体"/>
          <w:b/>
          <w:bCs/>
          <w:color w:val="auto"/>
          <w:sz w:val="48"/>
          <w:szCs w:val="48"/>
          <w:highlight w:val="none"/>
        </w:rPr>
      </w:pPr>
    </w:p>
    <w:p w14:paraId="4F4A0F9C">
      <w:pPr>
        <w:rPr>
          <w:rFonts w:hint="eastAsia" w:ascii="宋体" w:hAnsi="宋体"/>
          <w:color w:val="auto"/>
          <w:sz w:val="24"/>
          <w:highlight w:val="none"/>
        </w:rPr>
      </w:pPr>
    </w:p>
    <w:p w14:paraId="79A24005">
      <w:pPr>
        <w:bidi w:val="0"/>
        <w:jc w:val="center"/>
        <w:rPr>
          <w:rFonts w:hint="eastAsia" w:asciiTheme="minorEastAsia" w:hAnsiTheme="minorEastAsia" w:eastAsiaTheme="minorEastAsia" w:cstheme="minorEastAsia"/>
          <w:b/>
          <w:bCs/>
          <w:sz w:val="36"/>
          <w:szCs w:val="36"/>
          <w:highlight w:val="none"/>
        </w:rPr>
      </w:pPr>
    </w:p>
    <w:p w14:paraId="758FA025">
      <w:pPr>
        <w:bidi w:val="0"/>
        <w:jc w:val="center"/>
        <w:rPr>
          <w:rFonts w:hint="eastAsia" w:asciiTheme="minorEastAsia" w:hAnsiTheme="minorEastAsia" w:eastAsiaTheme="minorEastAsia" w:cstheme="minorEastAsia"/>
          <w:b/>
          <w:bCs/>
          <w:sz w:val="36"/>
          <w:szCs w:val="36"/>
          <w:highlight w:val="none"/>
        </w:rPr>
      </w:pPr>
    </w:p>
    <w:p w14:paraId="03D49AF8">
      <w:pPr>
        <w:bidi w:val="0"/>
        <w:jc w:val="center"/>
        <w:rPr>
          <w:rFonts w:hint="eastAsia" w:asciiTheme="minorEastAsia" w:hAnsiTheme="minorEastAsia" w:eastAsiaTheme="minorEastAsia" w:cstheme="minorEastAsia"/>
          <w:b/>
          <w:bCs/>
          <w:sz w:val="36"/>
          <w:szCs w:val="36"/>
          <w:highlight w:val="none"/>
        </w:rPr>
      </w:pPr>
    </w:p>
    <w:p w14:paraId="21F93E2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highlight w:val="none"/>
          <w:u w:val="single"/>
          <w:lang w:val="en-US"/>
        </w:rPr>
      </w:pPr>
      <w:r>
        <w:rPr>
          <w:rFonts w:hint="eastAsia" w:asciiTheme="minorEastAsia" w:hAnsiTheme="minorEastAsia" w:eastAsiaTheme="minorEastAsia" w:cstheme="minorEastAsia"/>
          <w:b/>
          <w:bCs/>
          <w:sz w:val="36"/>
          <w:szCs w:val="36"/>
          <w:highlight w:val="none"/>
        </w:rPr>
        <w:t>采购编号：</w:t>
      </w:r>
      <w:r>
        <w:rPr>
          <w:rFonts w:hint="eastAsia" w:asciiTheme="minorEastAsia" w:hAnsiTheme="minorEastAsia" w:eastAsiaTheme="minorEastAsia" w:cstheme="minorEastAsia"/>
          <w:b/>
          <w:bCs/>
          <w:sz w:val="36"/>
          <w:szCs w:val="36"/>
          <w:highlight w:val="none"/>
          <w:u w:val="single"/>
          <w:lang w:val="en-US" w:eastAsia="zh-CN"/>
        </w:rPr>
        <w:t>QZTCWLZX2024005</w:t>
      </w:r>
    </w:p>
    <w:p w14:paraId="50796EA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highlight w:val="none"/>
          <w:u w:val="single"/>
          <w:lang w:val="en-US" w:eastAsia="zh-CN"/>
        </w:rPr>
      </w:pPr>
      <w:r>
        <w:rPr>
          <w:rFonts w:hint="eastAsia" w:asciiTheme="minorEastAsia" w:hAnsiTheme="minorEastAsia" w:eastAsiaTheme="minorEastAsia" w:cstheme="minorEastAsia"/>
          <w:b/>
          <w:bCs/>
          <w:sz w:val="36"/>
          <w:szCs w:val="36"/>
          <w:highlight w:val="none"/>
        </w:rPr>
        <w:t>项目名称：</w:t>
      </w:r>
      <w:r>
        <w:rPr>
          <w:rFonts w:hint="eastAsia" w:asciiTheme="minorEastAsia" w:hAnsiTheme="minorEastAsia" w:eastAsiaTheme="minorEastAsia" w:cstheme="minorEastAsia"/>
          <w:b/>
          <w:bCs/>
          <w:sz w:val="36"/>
          <w:szCs w:val="36"/>
          <w:highlight w:val="none"/>
          <w:u w:val="single"/>
          <w:lang w:val="en-US" w:eastAsia="zh-CN"/>
        </w:rPr>
        <w:t>D区公寓楼智能化建设监理服务采购项目</w:t>
      </w:r>
    </w:p>
    <w:p w14:paraId="4856D4E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highlight w:val="none"/>
        </w:rPr>
      </w:pPr>
    </w:p>
    <w:p w14:paraId="7B3527A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highlight w:val="none"/>
        </w:rPr>
      </w:pPr>
    </w:p>
    <w:p w14:paraId="118A663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highlight w:val="none"/>
        </w:rPr>
      </w:pPr>
    </w:p>
    <w:p w14:paraId="095EF2A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highlight w:val="none"/>
        </w:rPr>
      </w:pPr>
    </w:p>
    <w:p w14:paraId="2FA6F7E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highlight w:val="none"/>
        </w:rPr>
      </w:pPr>
    </w:p>
    <w:p w14:paraId="151E1659">
      <w:pPr>
        <w:pStyle w:val="14"/>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olor w:val="auto"/>
          <w:highlight w:val="none"/>
        </w:rPr>
      </w:pPr>
    </w:p>
    <w:p w14:paraId="1BFBBD4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olor w:val="auto"/>
          <w:sz w:val="36"/>
          <w:highlight w:val="none"/>
        </w:rPr>
      </w:pPr>
    </w:p>
    <w:p w14:paraId="4D10884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highlight w:val="none"/>
          <w:lang w:val="en-US" w:eastAsia="zh-CN"/>
        </w:rPr>
      </w:pPr>
      <w:r>
        <w:rPr>
          <w:rFonts w:hint="eastAsia" w:asciiTheme="minorEastAsia" w:hAnsiTheme="minorEastAsia" w:eastAsiaTheme="minorEastAsia" w:cstheme="minorEastAsia"/>
          <w:b/>
          <w:bCs/>
          <w:sz w:val="36"/>
          <w:szCs w:val="36"/>
          <w:highlight w:val="none"/>
          <w:lang w:val="en-US" w:eastAsia="zh-CN"/>
        </w:rPr>
        <w:t>泉州师范学院网络中心</w:t>
      </w:r>
    </w:p>
    <w:p w14:paraId="34BAC26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Theme="minorEastAsia" w:hAnsiTheme="minorEastAsia" w:eastAsiaTheme="minorEastAsia" w:cstheme="minorEastAsia"/>
          <w:b/>
          <w:bCs/>
          <w:sz w:val="36"/>
          <w:szCs w:val="36"/>
          <w:highlight w:val="none"/>
          <w:lang w:val="en-US" w:eastAsia="zh-CN"/>
        </w:rPr>
        <w:t>2024</w:t>
      </w:r>
      <w:r>
        <w:rPr>
          <w:rFonts w:hint="eastAsia" w:asciiTheme="minorEastAsia" w:hAnsiTheme="minorEastAsia" w:eastAsiaTheme="minorEastAsia" w:cstheme="minorEastAsia"/>
          <w:b/>
          <w:bCs/>
          <w:sz w:val="36"/>
          <w:szCs w:val="36"/>
          <w:highlight w:val="none"/>
        </w:rPr>
        <w:t>年</w:t>
      </w:r>
      <w:r>
        <w:rPr>
          <w:rFonts w:hint="eastAsia" w:asciiTheme="minorEastAsia" w:hAnsiTheme="minorEastAsia" w:eastAsiaTheme="minorEastAsia" w:cstheme="minorEastAsia"/>
          <w:b/>
          <w:bCs/>
          <w:sz w:val="36"/>
          <w:szCs w:val="36"/>
          <w:highlight w:val="none"/>
          <w:lang w:val="en-US" w:eastAsia="zh-CN"/>
        </w:rPr>
        <w:t>8</w:t>
      </w:r>
      <w:r>
        <w:rPr>
          <w:rFonts w:hint="eastAsia" w:asciiTheme="minorEastAsia" w:hAnsiTheme="minorEastAsia" w:eastAsiaTheme="minorEastAsia" w:cstheme="minorEastAsia"/>
          <w:b/>
          <w:bCs/>
          <w:sz w:val="36"/>
          <w:szCs w:val="36"/>
          <w:highlight w:val="none"/>
        </w:rPr>
        <w:t>月</w:t>
      </w:r>
    </w:p>
    <w:p w14:paraId="5A2688CD">
      <w:pPr>
        <w:pStyle w:val="23"/>
        <w:rPr>
          <w:rFonts w:hint="eastAsia"/>
          <w:highlight w:val="none"/>
        </w:rPr>
      </w:pPr>
    </w:p>
    <w:p w14:paraId="0A3FD812">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kern w:val="2"/>
          <w:sz w:val="21"/>
          <w:szCs w:val="24"/>
          <w:highlight w:val="none"/>
          <w:lang w:val="en-US" w:eastAsia="zh-CN" w:bidi="ar-SA"/>
        </w:rPr>
        <w:id w:val="147478253"/>
        <w15:color w:val="DBDBDB"/>
        <w:docPartObj>
          <w:docPartGallery w:val="Table of Contents"/>
          <w:docPartUnique/>
        </w:docPartObj>
      </w:sdtPr>
      <w:sdtEndPr>
        <w:rPr>
          <w:rFonts w:ascii="宋体" w:hAnsi="宋体" w:eastAsia="宋体" w:cs="Times New Roman"/>
          <w:kern w:val="2"/>
          <w:sz w:val="21"/>
          <w:szCs w:val="24"/>
          <w:highlight w:val="none"/>
          <w:lang w:val="en-US" w:eastAsia="zh-CN" w:bidi="ar-SA"/>
        </w:rPr>
      </w:sdtEndPr>
      <w:sdtContent>
        <w:p w14:paraId="28D75DC4">
          <w:pPr>
            <w:spacing w:before="0" w:beforeLines="0" w:after="0" w:afterLines="0" w:line="240" w:lineRule="auto"/>
            <w:ind w:left="0" w:leftChars="0" w:right="0" w:rightChars="0" w:firstLine="0" w:firstLineChars="0"/>
            <w:jc w:val="center"/>
            <w:rPr>
              <w:highlight w:val="none"/>
            </w:rPr>
          </w:pPr>
        </w:p>
        <w:p w14:paraId="6AC8F3A8">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highlight w:val="none"/>
            </w:rPr>
          </w:pPr>
          <w:r>
            <w:rPr>
              <w:rFonts w:hint="eastAsia" w:asciiTheme="minorEastAsia" w:hAnsiTheme="minorEastAsia" w:eastAsiaTheme="minorEastAsia" w:cstheme="minorEastAsia"/>
              <w:b w:val="0"/>
              <w:bCs w:val="0"/>
              <w:sz w:val="28"/>
              <w:szCs w:val="28"/>
              <w:highlight w:val="none"/>
            </w:rPr>
            <w:fldChar w:fldCharType="begin"/>
          </w:r>
          <w:r>
            <w:rPr>
              <w:rFonts w:hint="eastAsia" w:asciiTheme="minorEastAsia" w:hAnsiTheme="minorEastAsia" w:eastAsiaTheme="minorEastAsia" w:cstheme="minorEastAsia"/>
              <w:b w:val="0"/>
              <w:bCs w:val="0"/>
              <w:sz w:val="28"/>
              <w:szCs w:val="28"/>
              <w:highlight w:val="none"/>
            </w:rPr>
            <w:instrText xml:space="preserve">TOC \o "1-1" \h \u </w:instrText>
          </w:r>
          <w:r>
            <w:rPr>
              <w:rFonts w:hint="eastAsia" w:asciiTheme="minorEastAsia" w:hAnsiTheme="minorEastAsia" w:eastAsiaTheme="minorEastAsia" w:cstheme="minorEastAsia"/>
              <w:b w:val="0"/>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HYPERLINK \l _Toc20272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 xml:space="preserve">第一部分    </w:t>
          </w:r>
          <w:r>
            <w:rPr>
              <w:rFonts w:hint="eastAsia" w:asciiTheme="minorEastAsia" w:hAnsiTheme="minorEastAsia" w:eastAsiaTheme="minorEastAsia" w:cstheme="minorEastAsia"/>
              <w:b/>
              <w:bCs w:val="0"/>
              <w:sz w:val="28"/>
              <w:szCs w:val="28"/>
              <w:highlight w:val="none"/>
              <w:lang w:eastAsia="zh-CN"/>
            </w:rPr>
            <w:t>询</w:t>
          </w:r>
          <w:r>
            <w:rPr>
              <w:rFonts w:hint="eastAsia" w:asciiTheme="minorEastAsia" w:hAnsiTheme="minorEastAsia" w:eastAsiaTheme="minorEastAsia" w:cstheme="minorEastAsia"/>
              <w:b/>
              <w:bCs w:val="0"/>
              <w:sz w:val="28"/>
              <w:szCs w:val="28"/>
              <w:highlight w:val="none"/>
            </w:rPr>
            <w:t>价邀请</w:t>
          </w:r>
          <w:r>
            <w:rPr>
              <w:rFonts w:hint="eastAsia" w:asciiTheme="minorEastAsia" w:hAnsiTheme="minorEastAsia" w:eastAsiaTheme="minorEastAsia" w:cstheme="minorEastAsia"/>
              <w:b/>
              <w:bCs w:val="0"/>
              <w:sz w:val="28"/>
              <w:szCs w:val="28"/>
              <w:highlight w:val="none"/>
            </w:rPr>
            <w:tab/>
          </w: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PAGEREF _Toc20272 \h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2</w:t>
          </w:r>
          <w:r>
            <w:rPr>
              <w:rFonts w:hint="eastAsia" w:asciiTheme="minorEastAsia" w:hAnsiTheme="minorEastAsia" w:eastAsiaTheme="minorEastAsia" w:cstheme="minorEastAsia"/>
              <w:b/>
              <w:bCs w:val="0"/>
              <w:sz w:val="28"/>
              <w:szCs w:val="28"/>
              <w:highlight w:val="none"/>
            </w:rPr>
            <w:fldChar w:fldCharType="end"/>
          </w:r>
          <w:r>
            <w:rPr>
              <w:rFonts w:hint="eastAsia" w:asciiTheme="minorEastAsia" w:hAnsiTheme="minorEastAsia" w:eastAsiaTheme="minorEastAsia" w:cstheme="minorEastAsia"/>
              <w:b/>
              <w:bCs w:val="0"/>
              <w:sz w:val="28"/>
              <w:szCs w:val="28"/>
              <w:highlight w:val="none"/>
            </w:rPr>
            <w:fldChar w:fldCharType="end"/>
          </w:r>
        </w:p>
        <w:p w14:paraId="0035A988">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highlight w:val="none"/>
            </w:rPr>
          </w:pP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HYPERLINK \l _Toc8566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lang w:eastAsia="zh-CN"/>
            </w:rPr>
            <w:t>第二部分</w:t>
          </w:r>
          <w:r>
            <w:rPr>
              <w:rFonts w:hint="eastAsia" w:asciiTheme="minorEastAsia" w:hAnsiTheme="minorEastAsia" w:eastAsiaTheme="minorEastAsia" w:cstheme="minorEastAsia"/>
              <w:b/>
              <w:bCs w:val="0"/>
              <w:sz w:val="28"/>
              <w:szCs w:val="28"/>
              <w:highlight w:val="none"/>
            </w:rPr>
            <w:t xml:space="preserve">    报价供应商须知</w:t>
          </w:r>
          <w:r>
            <w:rPr>
              <w:rFonts w:hint="eastAsia" w:asciiTheme="minorEastAsia" w:hAnsiTheme="minorEastAsia" w:eastAsiaTheme="minorEastAsia" w:cstheme="minorEastAsia"/>
              <w:b/>
              <w:bCs w:val="0"/>
              <w:sz w:val="28"/>
              <w:szCs w:val="28"/>
              <w:highlight w:val="none"/>
            </w:rPr>
            <w:tab/>
          </w: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PAGEREF _Toc8566 \h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3</w:t>
          </w:r>
          <w:r>
            <w:rPr>
              <w:rFonts w:hint="eastAsia" w:asciiTheme="minorEastAsia" w:hAnsiTheme="minorEastAsia" w:eastAsiaTheme="minorEastAsia" w:cstheme="minorEastAsia"/>
              <w:b/>
              <w:bCs w:val="0"/>
              <w:sz w:val="28"/>
              <w:szCs w:val="28"/>
              <w:highlight w:val="none"/>
            </w:rPr>
            <w:fldChar w:fldCharType="end"/>
          </w:r>
          <w:r>
            <w:rPr>
              <w:rFonts w:hint="eastAsia" w:asciiTheme="minorEastAsia" w:hAnsiTheme="minorEastAsia" w:eastAsiaTheme="minorEastAsia" w:cstheme="minorEastAsia"/>
              <w:b/>
              <w:bCs w:val="0"/>
              <w:sz w:val="28"/>
              <w:szCs w:val="28"/>
              <w:highlight w:val="none"/>
            </w:rPr>
            <w:fldChar w:fldCharType="end"/>
          </w:r>
        </w:p>
        <w:p w14:paraId="0AB4CBF0">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highlight w:val="none"/>
            </w:rPr>
          </w:pP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HYPERLINK \l _Toc3521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第</w:t>
          </w:r>
          <w:r>
            <w:rPr>
              <w:rFonts w:hint="eastAsia" w:asciiTheme="minorEastAsia" w:hAnsiTheme="minorEastAsia" w:eastAsiaTheme="minorEastAsia" w:cstheme="minorEastAsia"/>
              <w:b/>
              <w:bCs w:val="0"/>
              <w:sz w:val="28"/>
              <w:szCs w:val="28"/>
              <w:highlight w:val="none"/>
              <w:lang w:eastAsia="zh-CN"/>
            </w:rPr>
            <w:t>三</w:t>
          </w:r>
          <w:r>
            <w:rPr>
              <w:rFonts w:hint="eastAsia" w:asciiTheme="minorEastAsia" w:hAnsiTheme="minorEastAsia" w:eastAsiaTheme="minorEastAsia" w:cstheme="minorEastAsia"/>
              <w:b/>
              <w:bCs w:val="0"/>
              <w:sz w:val="28"/>
              <w:szCs w:val="28"/>
              <w:highlight w:val="none"/>
            </w:rPr>
            <w:t xml:space="preserve">部分    </w:t>
          </w:r>
          <w:r>
            <w:rPr>
              <w:rFonts w:hint="eastAsia" w:asciiTheme="minorEastAsia" w:hAnsiTheme="minorEastAsia" w:eastAsiaTheme="minorEastAsia" w:cstheme="minorEastAsia"/>
              <w:b/>
              <w:bCs w:val="0"/>
              <w:sz w:val="28"/>
              <w:szCs w:val="28"/>
              <w:highlight w:val="none"/>
              <w:lang w:eastAsia="zh-CN"/>
            </w:rPr>
            <w:t>询价内容</w:t>
          </w:r>
          <w:r>
            <w:rPr>
              <w:rFonts w:hint="eastAsia" w:asciiTheme="minorEastAsia" w:hAnsiTheme="minorEastAsia" w:eastAsiaTheme="minorEastAsia" w:cstheme="minorEastAsia"/>
              <w:b/>
              <w:bCs w:val="0"/>
              <w:sz w:val="28"/>
              <w:szCs w:val="28"/>
              <w:highlight w:val="none"/>
            </w:rPr>
            <w:t>及要求</w:t>
          </w:r>
          <w:r>
            <w:rPr>
              <w:rFonts w:hint="eastAsia" w:asciiTheme="minorEastAsia" w:hAnsiTheme="minorEastAsia" w:eastAsiaTheme="minorEastAsia" w:cstheme="minorEastAsia"/>
              <w:b/>
              <w:bCs w:val="0"/>
              <w:sz w:val="28"/>
              <w:szCs w:val="28"/>
              <w:highlight w:val="none"/>
            </w:rPr>
            <w:tab/>
          </w: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PAGEREF _Toc3521 \h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5</w:t>
          </w:r>
          <w:r>
            <w:rPr>
              <w:rFonts w:hint="eastAsia" w:asciiTheme="minorEastAsia" w:hAnsiTheme="minorEastAsia" w:eastAsiaTheme="minorEastAsia" w:cstheme="minorEastAsia"/>
              <w:b/>
              <w:bCs w:val="0"/>
              <w:sz w:val="28"/>
              <w:szCs w:val="28"/>
              <w:highlight w:val="none"/>
            </w:rPr>
            <w:fldChar w:fldCharType="end"/>
          </w:r>
          <w:r>
            <w:rPr>
              <w:rFonts w:hint="eastAsia" w:asciiTheme="minorEastAsia" w:hAnsiTheme="minorEastAsia" w:eastAsiaTheme="minorEastAsia" w:cstheme="minorEastAsia"/>
              <w:b/>
              <w:bCs w:val="0"/>
              <w:sz w:val="28"/>
              <w:szCs w:val="28"/>
              <w:highlight w:val="none"/>
            </w:rPr>
            <w:fldChar w:fldCharType="end"/>
          </w:r>
        </w:p>
        <w:p w14:paraId="4F528191">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highlight w:val="none"/>
            </w:rPr>
          </w:pP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HYPERLINK \l _Toc18685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第</w:t>
          </w:r>
          <w:r>
            <w:rPr>
              <w:rFonts w:hint="eastAsia" w:asciiTheme="minorEastAsia" w:hAnsiTheme="minorEastAsia" w:eastAsiaTheme="minorEastAsia" w:cstheme="minorEastAsia"/>
              <w:b/>
              <w:bCs w:val="0"/>
              <w:sz w:val="28"/>
              <w:szCs w:val="28"/>
              <w:highlight w:val="none"/>
              <w:lang w:eastAsia="zh-CN"/>
            </w:rPr>
            <w:t>四</w:t>
          </w:r>
          <w:r>
            <w:rPr>
              <w:rFonts w:hint="eastAsia" w:asciiTheme="minorEastAsia" w:hAnsiTheme="minorEastAsia" w:eastAsiaTheme="minorEastAsia" w:cstheme="minorEastAsia"/>
              <w:b/>
              <w:bCs w:val="0"/>
              <w:sz w:val="28"/>
              <w:szCs w:val="28"/>
              <w:highlight w:val="none"/>
            </w:rPr>
            <w:t xml:space="preserve">部分    </w:t>
          </w:r>
          <w:r>
            <w:rPr>
              <w:rFonts w:hint="eastAsia" w:asciiTheme="minorEastAsia" w:hAnsiTheme="minorEastAsia" w:eastAsiaTheme="minorEastAsia" w:cstheme="minorEastAsia"/>
              <w:b/>
              <w:bCs w:val="0"/>
              <w:sz w:val="28"/>
              <w:szCs w:val="28"/>
              <w:highlight w:val="none"/>
              <w:lang w:eastAsia="zh-CN"/>
            </w:rPr>
            <w:t>报价</w:t>
          </w:r>
          <w:r>
            <w:rPr>
              <w:rFonts w:hint="eastAsia" w:asciiTheme="minorEastAsia" w:hAnsiTheme="minorEastAsia" w:eastAsiaTheme="minorEastAsia" w:cstheme="minorEastAsia"/>
              <w:b/>
              <w:bCs w:val="0"/>
              <w:sz w:val="28"/>
              <w:szCs w:val="28"/>
              <w:highlight w:val="none"/>
            </w:rPr>
            <w:t>文件格式</w:t>
          </w:r>
          <w:r>
            <w:rPr>
              <w:rFonts w:hint="eastAsia" w:asciiTheme="minorEastAsia" w:hAnsiTheme="minorEastAsia" w:eastAsiaTheme="minorEastAsia" w:cstheme="minorEastAsia"/>
              <w:b/>
              <w:bCs w:val="0"/>
              <w:sz w:val="28"/>
              <w:szCs w:val="28"/>
              <w:highlight w:val="none"/>
            </w:rPr>
            <w:tab/>
          </w:r>
          <w:r>
            <w:rPr>
              <w:rFonts w:hint="eastAsia" w:asciiTheme="minorEastAsia" w:hAnsiTheme="minorEastAsia" w:eastAsiaTheme="minorEastAsia" w:cstheme="minorEastAsia"/>
              <w:b/>
              <w:bCs w:val="0"/>
              <w:sz w:val="28"/>
              <w:szCs w:val="28"/>
              <w:highlight w:val="none"/>
            </w:rPr>
            <w:fldChar w:fldCharType="begin"/>
          </w:r>
          <w:r>
            <w:rPr>
              <w:rFonts w:hint="eastAsia" w:asciiTheme="minorEastAsia" w:hAnsiTheme="minorEastAsia" w:eastAsiaTheme="minorEastAsia" w:cstheme="minorEastAsia"/>
              <w:b/>
              <w:bCs w:val="0"/>
              <w:sz w:val="28"/>
              <w:szCs w:val="28"/>
              <w:highlight w:val="none"/>
            </w:rPr>
            <w:instrText xml:space="preserve"> PAGEREF _Toc18685 \h </w:instrText>
          </w:r>
          <w:r>
            <w:rPr>
              <w:rFonts w:hint="eastAsia" w:asciiTheme="minorEastAsia" w:hAnsiTheme="minorEastAsia" w:eastAsiaTheme="minorEastAsia" w:cstheme="minorEastAsia"/>
              <w:b/>
              <w:bCs w:val="0"/>
              <w:sz w:val="28"/>
              <w:szCs w:val="28"/>
              <w:highlight w:val="none"/>
            </w:rPr>
            <w:fldChar w:fldCharType="separate"/>
          </w:r>
          <w:r>
            <w:rPr>
              <w:rFonts w:hint="eastAsia" w:asciiTheme="minorEastAsia" w:hAnsiTheme="minorEastAsia" w:eastAsiaTheme="minorEastAsia" w:cstheme="minorEastAsia"/>
              <w:b/>
              <w:bCs w:val="0"/>
              <w:sz w:val="28"/>
              <w:szCs w:val="28"/>
              <w:highlight w:val="none"/>
            </w:rPr>
            <w:t>8</w:t>
          </w:r>
          <w:r>
            <w:rPr>
              <w:rFonts w:hint="eastAsia" w:asciiTheme="minorEastAsia" w:hAnsiTheme="minorEastAsia" w:eastAsiaTheme="minorEastAsia" w:cstheme="minorEastAsia"/>
              <w:b/>
              <w:bCs w:val="0"/>
              <w:sz w:val="28"/>
              <w:szCs w:val="28"/>
              <w:highlight w:val="none"/>
            </w:rPr>
            <w:fldChar w:fldCharType="end"/>
          </w:r>
          <w:r>
            <w:rPr>
              <w:rFonts w:hint="eastAsia" w:asciiTheme="minorEastAsia" w:hAnsiTheme="minorEastAsia" w:eastAsiaTheme="minorEastAsia" w:cstheme="minorEastAsia"/>
              <w:b/>
              <w:bCs w:val="0"/>
              <w:sz w:val="28"/>
              <w:szCs w:val="28"/>
              <w:highlight w:val="none"/>
            </w:rPr>
            <w:fldChar w:fldCharType="end"/>
          </w:r>
        </w:p>
        <w:p w14:paraId="2A5159B8">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_Toc23202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 xml:space="preserve">格式1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报   价  书</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_Toc23202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9</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3E82844C">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_Toc20632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 xml:space="preserve">格式2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报价一览表</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_Toc20632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10</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14FB020D">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_Toc20275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格式</w:t>
          </w:r>
          <w:r>
            <w:rPr>
              <w:rFonts w:hint="eastAsia" w:asciiTheme="minorEastAsia" w:hAnsiTheme="minorEastAsia" w:eastAsiaTheme="minorEastAsia" w:cstheme="minorEastAsia"/>
              <w:b w:val="0"/>
              <w:bCs/>
              <w:sz w:val="28"/>
              <w:szCs w:val="28"/>
              <w:highlight w:val="none"/>
              <w:lang w:val="en-US" w:eastAsia="zh-CN"/>
            </w:rPr>
            <w:t>3</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分项报价明细表</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_Toc20275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11</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53396C16">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_Toc20061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格式</w:t>
          </w:r>
          <w:r>
            <w:rPr>
              <w:rFonts w:hint="eastAsia" w:asciiTheme="minorEastAsia" w:hAnsiTheme="minorEastAsia" w:eastAsiaTheme="minorEastAsia" w:cstheme="minorEastAsia"/>
              <w:b w:val="0"/>
              <w:bCs/>
              <w:sz w:val="28"/>
              <w:szCs w:val="28"/>
              <w:highlight w:val="none"/>
              <w:lang w:val="en-US" w:eastAsia="zh-CN"/>
            </w:rPr>
            <w:t>4</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资格</w:t>
          </w:r>
          <w:r>
            <w:rPr>
              <w:rFonts w:hint="eastAsia" w:asciiTheme="minorEastAsia" w:hAnsiTheme="minorEastAsia" w:eastAsiaTheme="minorEastAsia" w:cstheme="minorEastAsia"/>
              <w:b w:val="0"/>
              <w:bCs/>
              <w:sz w:val="28"/>
              <w:szCs w:val="28"/>
              <w:highlight w:val="none"/>
            </w:rPr>
            <w:t>声明函</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_Toc20061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12</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60C2CBAF">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_Toc19101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格式</w:t>
          </w:r>
          <w:r>
            <w:rPr>
              <w:rFonts w:hint="eastAsia" w:asciiTheme="minorEastAsia" w:hAnsiTheme="minorEastAsia" w:eastAsiaTheme="minorEastAsia" w:cstheme="minorEastAsia"/>
              <w:b w:val="0"/>
              <w:bCs/>
              <w:sz w:val="28"/>
              <w:szCs w:val="28"/>
              <w:highlight w:val="none"/>
              <w:lang w:val="en-US" w:eastAsia="zh-CN"/>
            </w:rPr>
            <w:t>5</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法定代表人授权书(原件)</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_Toc19101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13</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4667C640">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_Toc26769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格式</w:t>
          </w:r>
          <w:r>
            <w:rPr>
              <w:rFonts w:hint="eastAsia" w:asciiTheme="minorEastAsia" w:hAnsiTheme="minorEastAsia" w:eastAsiaTheme="minorEastAsia" w:cstheme="minorEastAsia"/>
              <w:b w:val="0"/>
              <w:bCs/>
              <w:sz w:val="28"/>
              <w:szCs w:val="28"/>
              <w:highlight w:val="none"/>
              <w:lang w:val="en-US" w:eastAsia="zh-CN"/>
            </w:rPr>
            <w:t>6</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资格声明函</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_Toc26769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14</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68BC911B">
          <w:pPr>
            <w:pStyle w:val="11"/>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highlight w:val="none"/>
            </w:rPr>
          </w:pP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HYPERLINK \l _Toc5839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格式</w:t>
          </w:r>
          <w:r>
            <w:rPr>
              <w:rFonts w:hint="eastAsia" w:asciiTheme="minorEastAsia" w:hAnsiTheme="minorEastAsia" w:eastAsiaTheme="minorEastAsia" w:cstheme="minorEastAsia"/>
              <w:b w:val="0"/>
              <w:bCs/>
              <w:sz w:val="28"/>
              <w:szCs w:val="28"/>
              <w:highlight w:val="none"/>
              <w:lang w:val="en-US" w:eastAsia="zh-CN"/>
            </w:rPr>
            <w:t>7</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 xml:space="preserve">          </w:t>
          </w:r>
          <w:r>
            <w:rPr>
              <w:rFonts w:hint="eastAsia" w:asciiTheme="minorEastAsia" w:hAnsiTheme="minorEastAsia" w:eastAsiaTheme="minorEastAsia" w:cstheme="minorEastAsia"/>
              <w:b w:val="0"/>
              <w:bCs/>
              <w:sz w:val="28"/>
              <w:szCs w:val="28"/>
              <w:highlight w:val="none"/>
            </w:rPr>
            <w:t xml:space="preserve">  </w:t>
          </w:r>
          <w:r>
            <w:rPr>
              <w:rFonts w:hint="eastAsia" w:asciiTheme="minorEastAsia" w:hAnsiTheme="minorEastAsia" w:eastAsiaTheme="minorEastAsia" w:cstheme="minorEastAsia"/>
              <w:b w:val="0"/>
              <w:bCs/>
              <w:sz w:val="28"/>
              <w:szCs w:val="28"/>
              <w:highlight w:val="none"/>
              <w:lang w:val="en-US" w:eastAsia="zh-CN"/>
            </w:rPr>
            <w:t>售后服务承诺</w:t>
          </w:r>
          <w:r>
            <w:rPr>
              <w:rFonts w:hint="eastAsia" w:asciiTheme="minorEastAsia" w:hAnsiTheme="minorEastAsia" w:eastAsiaTheme="minorEastAsia" w:cstheme="minorEastAsia"/>
              <w:b w:val="0"/>
              <w:bCs/>
              <w:sz w:val="28"/>
              <w:szCs w:val="28"/>
              <w:highlight w:val="none"/>
            </w:rPr>
            <w:tab/>
          </w:r>
          <w:r>
            <w:rPr>
              <w:rFonts w:hint="eastAsia" w:asciiTheme="minorEastAsia" w:hAnsiTheme="minorEastAsia" w:eastAsiaTheme="minorEastAsia" w:cstheme="minorEastAsia"/>
              <w:b w:val="0"/>
              <w:bCs/>
              <w:sz w:val="28"/>
              <w:szCs w:val="28"/>
              <w:highlight w:val="none"/>
            </w:rPr>
            <w:fldChar w:fldCharType="begin"/>
          </w:r>
          <w:r>
            <w:rPr>
              <w:rFonts w:hint="eastAsia" w:asciiTheme="minorEastAsia" w:hAnsiTheme="minorEastAsia" w:eastAsiaTheme="minorEastAsia" w:cstheme="minorEastAsia"/>
              <w:b w:val="0"/>
              <w:bCs/>
              <w:sz w:val="28"/>
              <w:szCs w:val="28"/>
              <w:highlight w:val="none"/>
            </w:rPr>
            <w:instrText xml:space="preserve"> PAGEREF _Toc5839 \h </w:instrText>
          </w:r>
          <w:r>
            <w:rPr>
              <w:rFonts w:hint="eastAsia" w:asciiTheme="minorEastAsia" w:hAnsiTheme="minorEastAsia" w:eastAsiaTheme="minorEastAsia" w:cstheme="minorEastAsia"/>
              <w:b w:val="0"/>
              <w:bCs/>
              <w:sz w:val="28"/>
              <w:szCs w:val="28"/>
              <w:highlight w:val="none"/>
            </w:rPr>
            <w:fldChar w:fldCharType="separate"/>
          </w:r>
          <w:r>
            <w:rPr>
              <w:rFonts w:hint="eastAsia" w:asciiTheme="minorEastAsia" w:hAnsiTheme="minorEastAsia" w:eastAsiaTheme="minorEastAsia" w:cstheme="minorEastAsia"/>
              <w:b w:val="0"/>
              <w:bCs/>
              <w:sz w:val="28"/>
              <w:szCs w:val="28"/>
              <w:highlight w:val="none"/>
            </w:rPr>
            <w:t>15</w:t>
          </w:r>
          <w:r>
            <w:rPr>
              <w:rFonts w:hint="eastAsia" w:asciiTheme="minorEastAsia" w:hAnsiTheme="minorEastAsia" w:eastAsiaTheme="minorEastAsia" w:cstheme="minorEastAsia"/>
              <w:b w:val="0"/>
              <w:bCs/>
              <w:sz w:val="28"/>
              <w:szCs w:val="28"/>
              <w:highlight w:val="none"/>
            </w:rPr>
            <w:fldChar w:fldCharType="end"/>
          </w:r>
          <w:r>
            <w:rPr>
              <w:rFonts w:hint="eastAsia" w:asciiTheme="minorEastAsia" w:hAnsiTheme="minorEastAsia" w:eastAsiaTheme="minorEastAsia" w:cstheme="minorEastAsia"/>
              <w:b w:val="0"/>
              <w:bCs/>
              <w:sz w:val="28"/>
              <w:szCs w:val="28"/>
              <w:highlight w:val="none"/>
            </w:rPr>
            <w:fldChar w:fldCharType="end"/>
          </w:r>
        </w:p>
        <w:p w14:paraId="496462F7">
          <w:pPr>
            <w:keepNext w:val="0"/>
            <w:keepLines w:val="0"/>
            <w:pageBreakBefore w:val="0"/>
            <w:kinsoku/>
            <w:wordWrap/>
            <w:overflowPunct/>
            <w:topLinePunct w:val="0"/>
            <w:autoSpaceDE/>
            <w:autoSpaceDN/>
            <w:bidi w:val="0"/>
            <w:adjustRightInd/>
            <w:snapToGrid/>
            <w:spacing w:line="360" w:lineRule="auto"/>
            <w:textAlignment w:val="auto"/>
            <w:rPr>
              <w:highlight w:val="none"/>
            </w:rPr>
          </w:pPr>
          <w:r>
            <w:rPr>
              <w:rFonts w:hint="eastAsia" w:asciiTheme="minorEastAsia" w:hAnsiTheme="minorEastAsia" w:eastAsiaTheme="minorEastAsia" w:cstheme="minorEastAsia"/>
              <w:bCs w:val="0"/>
              <w:sz w:val="28"/>
              <w:szCs w:val="28"/>
              <w:highlight w:val="none"/>
            </w:rPr>
            <w:fldChar w:fldCharType="end"/>
          </w:r>
        </w:p>
      </w:sdtContent>
    </w:sdt>
    <w:p w14:paraId="6A14A506">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2DE18BB6">
      <w:pPr>
        <w:pStyle w:val="2"/>
        <w:bidi w:val="0"/>
        <w:rPr>
          <w:rFonts w:hint="eastAsia"/>
          <w:highlight w:val="none"/>
        </w:rPr>
      </w:pPr>
      <w:bookmarkStart w:id="0" w:name="_Toc9763"/>
      <w:bookmarkStart w:id="1" w:name="_Toc20272"/>
      <w:bookmarkStart w:id="2" w:name="_Toc10914"/>
      <w:bookmarkStart w:id="3" w:name="_Toc134733479"/>
      <w:bookmarkStart w:id="4" w:name="_Toc26208"/>
      <w:r>
        <w:rPr>
          <w:rFonts w:hint="eastAsia"/>
          <w:highlight w:val="none"/>
        </w:rPr>
        <w:t xml:space="preserve">第一部分    </w:t>
      </w:r>
      <w:r>
        <w:rPr>
          <w:rFonts w:hint="eastAsia"/>
          <w:highlight w:val="none"/>
          <w:lang w:eastAsia="zh-CN"/>
        </w:rPr>
        <w:t>询</w:t>
      </w:r>
      <w:r>
        <w:rPr>
          <w:rFonts w:hint="eastAsia"/>
          <w:highlight w:val="none"/>
        </w:rPr>
        <w:t>价邀请</w:t>
      </w:r>
      <w:bookmarkEnd w:id="0"/>
      <w:bookmarkEnd w:id="1"/>
      <w:bookmarkEnd w:id="2"/>
      <w:bookmarkEnd w:id="3"/>
      <w:bookmarkEnd w:id="4"/>
    </w:p>
    <w:p w14:paraId="23F16254">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622007"/>
      <w:bookmarkStart w:id="6" w:name="_Toc34664278"/>
      <w:bookmarkStart w:id="7" w:name="_Toc60130052"/>
      <w:bookmarkStart w:id="8" w:name="_Toc34745149"/>
      <w:bookmarkStart w:id="9" w:name="_Toc53570175"/>
      <w:bookmarkStart w:id="10" w:name="_Toc36146204"/>
      <w:bookmarkStart w:id="11" w:name="_Toc98731630"/>
      <w:bookmarkStart w:id="12" w:name="_Toc105389203"/>
      <w:bookmarkStart w:id="13" w:name="_Toc35222536"/>
      <w:bookmarkStart w:id="14" w:name="_Toc35742634"/>
      <w:bookmarkStart w:id="15" w:name="_Toc93397582"/>
      <w:bookmarkStart w:id="16" w:name="_Toc3785675"/>
      <w:bookmarkStart w:id="17" w:name="_Toc35599967"/>
      <w:bookmarkStart w:id="18" w:name="_Toc36123671"/>
      <w:bookmarkStart w:id="19" w:name="_Toc33953164"/>
      <w:bookmarkStart w:id="20" w:name="_Toc93397984"/>
      <w:bookmarkStart w:id="21" w:name="_Toc108260365"/>
      <w:bookmarkStart w:id="22" w:name="_Toc34789935"/>
      <w:bookmarkStart w:id="23" w:name="_Toc33775520"/>
      <w:bookmarkStart w:id="24" w:name="_Toc3785637"/>
      <w:bookmarkStart w:id="25" w:name="_Toc40761347"/>
      <w:bookmarkStart w:id="26" w:name="_Toc108257116"/>
      <w:bookmarkStart w:id="27" w:name="_Toc425276503"/>
      <w:bookmarkStart w:id="28" w:name="_Toc54513051"/>
      <w:bookmarkStart w:id="29" w:name="_Toc35071897"/>
      <w:bookmarkStart w:id="30" w:name="_Toc98672988"/>
      <w:bookmarkStart w:id="31" w:name="_Toc35941127"/>
      <w:bookmarkStart w:id="32" w:name="_Toc108257466"/>
      <w:bookmarkStart w:id="33" w:name="_Toc35068743"/>
      <w:bookmarkStart w:id="34" w:name="_Toc53335577"/>
      <w:bookmarkStart w:id="35" w:name="_Toc3785461"/>
      <w:bookmarkStart w:id="36" w:name="_Toc3785513"/>
      <w:bookmarkStart w:id="37" w:name="_Toc87857945"/>
      <w:bookmarkStart w:id="38" w:name="_Toc35107772"/>
      <w:bookmarkStart w:id="39" w:name="_Toc34703823"/>
      <w:bookmarkStart w:id="40" w:name="_Toc108257397"/>
      <w:bookmarkStart w:id="41" w:name="_Toc108257590"/>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73207D25">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4567BBA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bookmarkStart w:id="42" w:name="_Toc26626"/>
      <w:bookmarkStart w:id="43" w:name="_Toc491700004"/>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QZTCWLZX2024005  </w:t>
      </w:r>
    </w:p>
    <w:p w14:paraId="4DB7489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b w:val="0"/>
          <w:bCs/>
          <w:color w:val="auto"/>
          <w:sz w:val="24"/>
          <w:szCs w:val="24"/>
          <w:highlight w:val="none"/>
          <w:u w:val="single"/>
          <w:lang w:val="en-US" w:eastAsia="zh-CN"/>
        </w:rPr>
        <w:t xml:space="preserve"> D区公寓楼</w:t>
      </w:r>
      <w:r>
        <w:rPr>
          <w:rFonts w:hint="eastAsia" w:ascii="宋体" w:hAnsi="宋体"/>
          <w:b w:val="0"/>
          <w:bCs/>
          <w:color w:val="auto"/>
          <w:sz w:val="24"/>
          <w:szCs w:val="24"/>
          <w:highlight w:val="none"/>
          <w:u w:val="single"/>
          <w:lang w:val="en-US" w:eastAsia="zh-CN"/>
        </w:rPr>
        <w:t>智能化建设监理服务</w:t>
      </w:r>
      <w:r>
        <w:rPr>
          <w:rFonts w:hint="eastAsia" w:ascii="宋体" w:hAnsi="宋体" w:eastAsia="宋体"/>
          <w:b w:val="0"/>
          <w:bCs/>
          <w:color w:val="auto"/>
          <w:sz w:val="24"/>
          <w:szCs w:val="24"/>
          <w:highlight w:val="none"/>
          <w:u w:val="single"/>
          <w:lang w:val="en-US" w:eastAsia="zh-CN"/>
        </w:rPr>
        <w:t xml:space="preserve">采购项目  </w:t>
      </w:r>
    </w:p>
    <w:p w14:paraId="3226FE65">
      <w:pPr>
        <w:pStyle w:val="23"/>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¥96000.00元   </w:t>
      </w:r>
    </w:p>
    <w:p w14:paraId="73E4DCD7">
      <w:pPr>
        <w:keepNext w:val="0"/>
        <w:keepLines w:val="0"/>
        <w:pageBreakBefore w:val="0"/>
        <w:widowControl w:val="0"/>
        <w:kinsoku/>
        <w:wordWrap/>
        <w:overflowPunct/>
        <w:topLinePunct w:val="0"/>
        <w:autoSpaceDE/>
        <w:autoSpaceDN/>
        <w:bidi w:val="0"/>
        <w:adjustRightInd/>
        <w:snapToGrid/>
        <w:spacing w:before="100" w:after="100"/>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eastAsia="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51E4489">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441490D">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8AFAB3C">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503B72">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00C6905">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005B257">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6F7A8889">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906BE44">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26E51BE">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eastAsia="宋体"/>
                <w:color w:val="auto"/>
                <w:highlight w:val="none"/>
                <w:lang w:eastAsia="zh-CN"/>
              </w:rPr>
              <w:t>D区公寓楼</w:t>
            </w:r>
            <w:r>
              <w:rPr>
                <w:rFonts w:hint="eastAsia" w:ascii="宋体" w:hAnsi="宋体"/>
                <w:color w:val="auto"/>
                <w:highlight w:val="none"/>
                <w:lang w:eastAsia="zh-CN"/>
              </w:rPr>
              <w:t>智能化建设监理服务</w:t>
            </w:r>
            <w:r>
              <w:rPr>
                <w:rFonts w:hint="eastAsia" w:ascii="宋体" w:hAnsi="宋体" w:eastAsia="宋体"/>
                <w:color w:val="auto"/>
                <w:highlight w:val="none"/>
                <w:lang w:eastAsia="zh-CN"/>
              </w:rPr>
              <w:t>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9EB5D23">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487A43">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96000.00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E199C40">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0E3B54C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64C2808D">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outlineLvl w:val="1"/>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D81567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29DD2947">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7EDC37F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2024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8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30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16:15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1B600F13">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2024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8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30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16:30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46B240F5">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14:paraId="789F49F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highlight w:val="none"/>
          <w:u w:val="single"/>
          <w:lang w:val="en-US" w:eastAsia="zh-CN"/>
        </w:rPr>
        <w:t xml:space="preserve"> 0595-22911950 </w:t>
      </w:r>
      <w:r>
        <w:rPr>
          <w:rFonts w:hint="eastAsia" w:ascii="宋体" w:hAnsi="宋体" w:cs="宋体"/>
          <w:color w:val="auto"/>
          <w:kern w:val="2"/>
          <w:sz w:val="24"/>
          <w:szCs w:val="24"/>
          <w:highlight w:val="none"/>
          <w:lang w:val="zh-CN" w:eastAsia="zh-CN" w:bidi="ar-SA"/>
        </w:rPr>
        <w:t>。</w:t>
      </w:r>
    </w:p>
    <w:p w14:paraId="6DBA258E">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3AECE968">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398A910A">
      <w:pPr>
        <w:spacing w:before="156" w:beforeLines="50" w:after="156" w:afterLines="50" w:line="440" w:lineRule="exact"/>
        <w:jc w:val="center"/>
        <w:outlineLvl w:val="0"/>
        <w:rPr>
          <w:rStyle w:val="27"/>
          <w:rFonts w:hint="eastAsia"/>
          <w:highlight w:val="none"/>
        </w:rPr>
      </w:pPr>
      <w:r>
        <w:rPr>
          <w:rFonts w:hint="eastAsia" w:ascii="宋体" w:hAnsi="宋体"/>
          <w:b/>
          <w:color w:val="auto"/>
          <w:sz w:val="36"/>
          <w:szCs w:val="36"/>
          <w:highlight w:val="none"/>
        </w:rPr>
        <w:br w:type="page"/>
      </w:r>
      <w:bookmarkStart w:id="44" w:name="_Toc4126"/>
      <w:bookmarkStart w:id="45" w:name="_Toc8566"/>
      <w:r>
        <w:rPr>
          <w:rStyle w:val="27"/>
          <w:rFonts w:hint="eastAsia"/>
          <w:highlight w:val="none"/>
          <w:lang w:eastAsia="zh-CN"/>
        </w:rPr>
        <w:t>第二部分</w:t>
      </w:r>
      <w:r>
        <w:rPr>
          <w:rFonts w:hint="eastAsia"/>
          <w:highlight w:val="none"/>
        </w:rPr>
        <w:t xml:space="preserve">    </w:t>
      </w:r>
      <w:r>
        <w:rPr>
          <w:rStyle w:val="27"/>
          <w:rFonts w:hint="eastAsia"/>
          <w:highlight w:val="none"/>
        </w:rPr>
        <w:t>报价供应商须知</w:t>
      </w:r>
      <w:bookmarkEnd w:id="44"/>
      <w:bookmarkEnd w:id="45"/>
    </w:p>
    <w:p w14:paraId="52AE64D6">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0C2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37969BF">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65061AD0">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61AB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516F8A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6B0EE693">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2D4BEE48">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highlight w:val="none"/>
                <w:u w:val="none"/>
              </w:rPr>
              <w:t>泉州市丰泽区东海大街398号</w:t>
            </w:r>
            <w:r>
              <w:rPr>
                <w:rFonts w:hint="eastAsia" w:ascii="宋体" w:hAnsi="宋体" w:cs="宋体"/>
                <w:color w:val="auto"/>
                <w:sz w:val="24"/>
                <w:szCs w:val="24"/>
                <w:highlight w:val="none"/>
                <w:u w:val="none"/>
                <w:lang w:val="en-US" w:eastAsia="zh-CN"/>
              </w:rPr>
              <w:t>.</w:t>
            </w:r>
          </w:p>
        </w:tc>
      </w:tr>
      <w:tr w14:paraId="771B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2BB4BF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7C03D233">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426EA4B7">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430D9301">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4409E36E">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071494F0">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304D3CB5">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26138E39">
            <w:pPr>
              <w:pStyle w:val="16"/>
              <w:spacing w:after="0" w:line="360" w:lineRule="auto"/>
              <w:ind w:left="0" w:leftChars="0" w:firstLine="0" w:firstLineChars="0"/>
              <w:rPr>
                <w:rFonts w:hint="eastAsia" w:ascii="宋体" w:hAnsi="宋体" w:cs="宋体"/>
                <w:color w:val="auto"/>
                <w:kern w:val="0"/>
                <w:sz w:val="24"/>
                <w:szCs w:val="24"/>
                <w:highlight w:val="none"/>
                <w:shd w:val="clear" w:color="auto" w:fill="FFFFFF"/>
                <w:lang w:val="en-US" w:eastAsia="zh-CN"/>
              </w:rPr>
            </w:pPr>
            <w:r>
              <w:rPr>
                <w:rFonts w:hint="eastAsia" w:ascii="宋体" w:hAnsi="宋体"/>
                <w:color w:val="auto"/>
                <w:sz w:val="24"/>
                <w:highlight w:val="none"/>
                <w:lang w:val="en-US" w:eastAsia="zh-CN"/>
              </w:rPr>
              <w:t>6</w:t>
            </w:r>
            <w:r>
              <w:rPr>
                <w:rFonts w:hint="eastAsia" w:ascii="宋体" w:hAnsi="宋体"/>
                <w:color w:val="auto"/>
                <w:sz w:val="24"/>
                <w:highlight w:val="none"/>
              </w:rPr>
              <w:t>、</w:t>
            </w:r>
            <w:r>
              <w:rPr>
                <w:rFonts w:hint="eastAsia" w:ascii="宋体" w:hAnsi="宋体"/>
                <w:color w:val="auto"/>
                <w:sz w:val="24"/>
                <w:highlight w:val="none"/>
                <w:lang w:val="en-US" w:eastAsia="zh-CN"/>
              </w:rPr>
              <w:t>报价供应商</w:t>
            </w:r>
            <w:r>
              <w:rPr>
                <w:rFonts w:hint="eastAsia" w:ascii="宋体" w:hAnsi="宋体" w:cs="宋体"/>
                <w:color w:val="auto"/>
                <w:kern w:val="0"/>
                <w:sz w:val="24"/>
                <w:szCs w:val="24"/>
                <w:highlight w:val="none"/>
                <w:shd w:val="clear" w:color="auto" w:fill="FFFFFF"/>
                <w:lang w:val="en-US" w:eastAsia="zh-CN"/>
              </w:rPr>
              <w:t>须具备建设行政主管部门核发的合法有效的工程监理综合资质或不低于乙级房屋建筑工程监理资质。</w:t>
            </w:r>
          </w:p>
          <w:p w14:paraId="69C1611A">
            <w:pPr>
              <w:pStyle w:val="16"/>
              <w:spacing w:after="0" w:line="360" w:lineRule="auto"/>
              <w:ind w:left="0" w:leftChars="0" w:firstLine="0" w:firstLineChars="0"/>
              <w:rPr>
                <w:rFonts w:hint="eastAsia" w:ascii="宋体" w:hAnsi="宋体"/>
                <w:b w:val="0"/>
                <w:bCs w:val="0"/>
                <w:color w:val="auto"/>
                <w:sz w:val="24"/>
                <w:highlight w:val="none"/>
                <w:lang w:val="en-US" w:eastAsia="zh-CN"/>
              </w:rPr>
            </w:pPr>
            <w:r>
              <w:rPr>
                <w:rFonts w:hint="eastAsia" w:ascii="宋体" w:hAnsi="宋体" w:cs="宋体"/>
                <w:color w:val="auto"/>
                <w:kern w:val="0"/>
                <w:sz w:val="24"/>
                <w:szCs w:val="24"/>
                <w:highlight w:val="none"/>
                <w:shd w:val="clear" w:color="auto" w:fill="FFFFFF"/>
                <w:lang w:val="en-US" w:eastAsia="zh-CN"/>
              </w:rPr>
              <w:t>7、</w:t>
            </w:r>
            <w:r>
              <w:rPr>
                <w:rFonts w:hint="eastAsia" w:ascii="宋体" w:hAnsi="宋体"/>
                <w:color w:val="auto"/>
                <w:sz w:val="24"/>
                <w:highlight w:val="none"/>
                <w:lang w:val="en-US" w:eastAsia="zh-CN"/>
              </w:rPr>
              <w:t>报价供应商</w:t>
            </w:r>
            <w:r>
              <w:rPr>
                <w:rFonts w:hint="eastAsia" w:ascii="宋体" w:hAnsi="宋体" w:cs="宋体"/>
                <w:color w:val="auto"/>
                <w:kern w:val="0"/>
                <w:sz w:val="24"/>
                <w:szCs w:val="24"/>
                <w:highlight w:val="none"/>
                <w:shd w:val="clear" w:color="auto" w:fill="FFFFFF"/>
                <w:lang w:val="en-US" w:eastAsia="zh-CN"/>
              </w:rPr>
              <w:t>拟派总监理工程师须具备建设行政主管部门核发的合格有效的中华人民共和国注册监理工程师注册执业证书，注册专业要求为房屋建筑工程且需具备中级及以上职称（职称专业为房屋建筑工程），以注册监理工程注册执业证书上的注册单位为准。</w:t>
            </w:r>
            <w:r>
              <w:rPr>
                <w:rFonts w:hint="eastAsia" w:ascii="宋体" w:hAnsi="宋体"/>
                <w:b w:val="0"/>
                <w:bCs w:val="0"/>
                <w:color w:val="auto"/>
                <w:sz w:val="24"/>
                <w:highlight w:val="none"/>
                <w:lang w:val="en-US" w:eastAsia="zh-CN"/>
              </w:rPr>
              <w:t>（须提供近6个月的社保缴交记录）。</w:t>
            </w:r>
          </w:p>
          <w:tbl>
            <w:tblPr>
              <w:tblStyle w:val="18"/>
              <w:tblpPr w:leftFromText="180" w:rightFromText="180" w:vertAnchor="text" w:horzAnchor="page" w:tblpX="334" w:tblpY="554"/>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853"/>
              <w:gridCol w:w="706"/>
              <w:gridCol w:w="5620"/>
            </w:tblGrid>
            <w:tr w14:paraId="0F934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blHeader/>
                <w:jc w:val="center"/>
              </w:trPr>
              <w:tc>
                <w:tcPr>
                  <w:tcW w:w="1853" w:type="dxa"/>
                  <w:vAlign w:val="center"/>
                </w:tcPr>
                <w:p w14:paraId="49F6DF37">
                  <w:pPr>
                    <w:keepNext w:val="0"/>
                    <w:keepLines w:val="0"/>
                    <w:pageBreakBefore w:val="0"/>
                    <w:widowControl w:val="0"/>
                    <w:tabs>
                      <w:tab w:val="left" w:pos="100"/>
                      <w:tab w:val="left" w:pos="70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岗位名称</w:t>
                  </w:r>
                </w:p>
              </w:tc>
              <w:tc>
                <w:tcPr>
                  <w:tcW w:w="706" w:type="dxa"/>
                  <w:vAlign w:val="center"/>
                </w:tcPr>
                <w:p w14:paraId="59E37E7E">
                  <w:pPr>
                    <w:keepNext w:val="0"/>
                    <w:keepLines w:val="0"/>
                    <w:pageBreakBefore w:val="0"/>
                    <w:widowControl w:val="0"/>
                    <w:tabs>
                      <w:tab w:val="left" w:pos="100"/>
                      <w:tab w:val="left" w:pos="70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人数</w:t>
                  </w:r>
                </w:p>
              </w:tc>
              <w:tc>
                <w:tcPr>
                  <w:tcW w:w="5620" w:type="dxa"/>
                  <w:vAlign w:val="center"/>
                </w:tcPr>
                <w:p w14:paraId="795FB2AD">
                  <w:pPr>
                    <w:keepNext w:val="0"/>
                    <w:keepLines w:val="0"/>
                    <w:pageBreakBefore w:val="0"/>
                    <w:widowControl w:val="0"/>
                    <w:tabs>
                      <w:tab w:val="left" w:pos="100"/>
                      <w:tab w:val="left" w:pos="700"/>
                    </w:tabs>
                    <w:kinsoku/>
                    <w:wordWrap/>
                    <w:overflowPunct/>
                    <w:topLinePunct w:val="0"/>
                    <w:autoSpaceDE/>
                    <w:autoSpaceDN/>
                    <w:bidi w:val="0"/>
                    <w:adjustRightInd w:val="0"/>
                    <w:snapToGrid w:val="0"/>
                    <w:spacing w:line="240" w:lineRule="auto"/>
                    <w:ind w:firstLine="422"/>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最低资历要求</w:t>
                  </w:r>
                </w:p>
              </w:tc>
            </w:tr>
            <w:tr w14:paraId="66C19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853" w:type="dxa"/>
                  <w:vAlign w:val="center"/>
                </w:tcPr>
                <w:p w14:paraId="3F7A21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土建监理工程师</w:t>
                  </w:r>
                </w:p>
              </w:tc>
              <w:tc>
                <w:tcPr>
                  <w:tcW w:w="706" w:type="dxa"/>
                  <w:vAlign w:val="center"/>
                </w:tcPr>
                <w:p w14:paraId="6B314E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1人</w:t>
                  </w:r>
                </w:p>
              </w:tc>
              <w:tc>
                <w:tcPr>
                  <w:tcW w:w="5620" w:type="dxa"/>
                  <w:vAlign w:val="center"/>
                </w:tcPr>
                <w:p w14:paraId="3E3186D6">
                  <w:pPr>
                    <w:keepNext w:val="0"/>
                    <w:keepLines w:val="0"/>
                    <w:pageBreakBefore w:val="0"/>
                    <w:widowControl w:val="0"/>
                    <w:kinsoku/>
                    <w:wordWrap/>
                    <w:overflowPunct/>
                    <w:topLinePunct w:val="0"/>
                    <w:autoSpaceDE/>
                    <w:autoSpaceDN/>
                    <w:bidi w:val="0"/>
                    <w:adjustRightInd w:val="0"/>
                    <w:snapToGrid w:val="0"/>
                    <w:spacing w:line="240" w:lineRule="auto"/>
                    <w:ind w:firstLine="422"/>
                    <w:jc w:val="left"/>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具备合格有效的房屋建筑工程专业国家注册监理工程师注册执业证书或具备福建省工程监理与项目管理协会颁发的福建省监理工程师岗位培训证书（从事专业为房屋建筑工程，所学专业为土建工程）。</w:t>
                  </w:r>
                </w:p>
              </w:tc>
            </w:tr>
            <w:tr w14:paraId="0175A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853" w:type="dxa"/>
                  <w:vAlign w:val="center"/>
                </w:tcPr>
                <w:p w14:paraId="5A965A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水电监理工程师</w:t>
                  </w:r>
                </w:p>
              </w:tc>
              <w:tc>
                <w:tcPr>
                  <w:tcW w:w="706" w:type="dxa"/>
                  <w:vAlign w:val="center"/>
                </w:tcPr>
                <w:p w14:paraId="0C045B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1人</w:t>
                  </w:r>
                </w:p>
              </w:tc>
              <w:tc>
                <w:tcPr>
                  <w:tcW w:w="5620" w:type="dxa"/>
                  <w:vAlign w:val="center"/>
                </w:tcPr>
                <w:p w14:paraId="7F9666C5">
                  <w:pPr>
                    <w:keepNext w:val="0"/>
                    <w:keepLines w:val="0"/>
                    <w:pageBreakBefore w:val="0"/>
                    <w:widowControl w:val="0"/>
                    <w:kinsoku/>
                    <w:wordWrap/>
                    <w:overflowPunct/>
                    <w:topLinePunct w:val="0"/>
                    <w:autoSpaceDE/>
                    <w:autoSpaceDN/>
                    <w:bidi w:val="0"/>
                    <w:adjustRightInd w:val="0"/>
                    <w:snapToGrid w:val="0"/>
                    <w:spacing w:line="240" w:lineRule="auto"/>
                    <w:ind w:firstLine="422"/>
                    <w:jc w:val="left"/>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具备合格有效的房屋建筑工程专业国家注册监理工程师注册执业证书或具备福建省工程监理与项目管理协会颁发的福建省监理工程师岗位培训证书（从事专业为房屋建筑工程，所学专业为水电安装）。</w:t>
                  </w:r>
                </w:p>
              </w:tc>
            </w:tr>
            <w:tr w14:paraId="17AE9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853" w:type="dxa"/>
                  <w:vAlign w:val="center"/>
                </w:tcPr>
                <w:p w14:paraId="7B746A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土建监理员</w:t>
                  </w:r>
                </w:p>
              </w:tc>
              <w:tc>
                <w:tcPr>
                  <w:tcW w:w="706" w:type="dxa"/>
                  <w:vAlign w:val="center"/>
                </w:tcPr>
                <w:p w14:paraId="005D54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1人</w:t>
                  </w:r>
                </w:p>
              </w:tc>
              <w:tc>
                <w:tcPr>
                  <w:tcW w:w="5620" w:type="dxa"/>
                  <w:vAlign w:val="center"/>
                </w:tcPr>
                <w:p w14:paraId="33C5A066">
                  <w:pPr>
                    <w:keepNext w:val="0"/>
                    <w:keepLines w:val="0"/>
                    <w:pageBreakBefore w:val="0"/>
                    <w:widowControl w:val="0"/>
                    <w:kinsoku/>
                    <w:wordWrap/>
                    <w:overflowPunct/>
                    <w:topLinePunct w:val="0"/>
                    <w:autoSpaceDE/>
                    <w:autoSpaceDN/>
                    <w:bidi w:val="0"/>
                    <w:adjustRightInd w:val="0"/>
                    <w:snapToGrid w:val="0"/>
                    <w:spacing w:line="240" w:lineRule="auto"/>
                    <w:ind w:firstLine="422"/>
                    <w:jc w:val="left"/>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符合下列资格要求之一：</w:t>
                  </w:r>
                </w:p>
                <w:p w14:paraId="40CE5039">
                  <w:pPr>
                    <w:keepNext w:val="0"/>
                    <w:keepLines w:val="0"/>
                    <w:pageBreakBefore w:val="0"/>
                    <w:widowControl w:val="0"/>
                    <w:kinsoku/>
                    <w:wordWrap/>
                    <w:overflowPunct/>
                    <w:topLinePunct w:val="0"/>
                    <w:autoSpaceDE/>
                    <w:autoSpaceDN/>
                    <w:bidi w:val="0"/>
                    <w:adjustRightInd w:val="0"/>
                    <w:snapToGrid w:val="0"/>
                    <w:spacing w:line="240" w:lineRule="auto"/>
                    <w:ind w:firstLine="422"/>
                    <w:jc w:val="left"/>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（1）具备合格有效的福建省工程监理与项目管理协会颁发的福建省监理工程师岗位培训证书或福建省监理员岗位培训证书，岗位培训证书从事专业为房屋建筑工程，所学专业为土建工程；</w:t>
                  </w:r>
                </w:p>
                <w:p w14:paraId="55F7285F">
                  <w:pPr>
                    <w:keepNext w:val="0"/>
                    <w:keepLines w:val="0"/>
                    <w:pageBreakBefore w:val="0"/>
                    <w:widowControl w:val="0"/>
                    <w:kinsoku/>
                    <w:wordWrap/>
                    <w:overflowPunct/>
                    <w:topLinePunct w:val="0"/>
                    <w:autoSpaceDE/>
                    <w:autoSpaceDN/>
                    <w:bidi w:val="0"/>
                    <w:adjustRightInd w:val="0"/>
                    <w:snapToGrid w:val="0"/>
                    <w:spacing w:line="240" w:lineRule="auto"/>
                    <w:ind w:firstLine="422"/>
                    <w:jc w:val="left"/>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（2）具备合格有效的房屋建筑工程专业国家注册监理工程师注册执业证书。</w:t>
                  </w:r>
                </w:p>
              </w:tc>
            </w:tr>
          </w:tbl>
          <w:p w14:paraId="67CA71F6">
            <w:pPr>
              <w:pStyle w:val="16"/>
              <w:spacing w:after="0" w:line="360" w:lineRule="auto"/>
              <w:ind w:firstLine="0" w:firstLineChars="0"/>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8、其他主要人员要求：</w:t>
            </w:r>
          </w:p>
          <w:p w14:paraId="074A988E">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4410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CF94CF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216C6402">
            <w:pPr>
              <w:spacing w:line="440" w:lineRule="exact"/>
              <w:rPr>
                <w:rFonts w:hint="eastAsia" w:ascii="宋体" w:hAnsi="宋体" w:eastAsia="宋体"/>
                <w:color w:val="FF0000"/>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5BA9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5E99639">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37BFB423">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4BC8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0ECC6C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64F4C166">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445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DDEE6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123AF0F5">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3774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4A19C5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3132A397">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1DB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480B047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3878446B">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5436E00D">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highlight w:val="none"/>
              </w:rPr>
              <w:t>即在全部满足询价文件实质性要求前提下，依据统一的价格要素评定最低报价，以提出最低报价的报价供应商作为成交候选供应商或成交人。</w:t>
            </w:r>
          </w:p>
        </w:tc>
      </w:tr>
      <w:tr w14:paraId="170E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5411FFC">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1A9DE982">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5185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1B68E21">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6E60AF27">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2D70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DF9B30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2A468E83">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49FE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6EF77C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5AEC3E2F">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47D87C1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66EA3B6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374CF5D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56968ED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36B5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74D9689">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C7E1CA5">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1CB03498">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5F56E7A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11308A4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4D08826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43BF48C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A52B74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0116D29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0C65919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4CB3E1B1">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750EBDAB">
      <w:pPr>
        <w:pStyle w:val="23"/>
        <w:rPr>
          <w:rFonts w:hint="eastAsia"/>
          <w:highlight w:val="none"/>
          <w:lang w:eastAsia="zh-CN"/>
        </w:rPr>
      </w:pPr>
      <w:bookmarkStart w:id="46" w:name="_Toc34"/>
      <w:bookmarkStart w:id="47" w:name="_Toc1931"/>
    </w:p>
    <w:p w14:paraId="7A4B84FD">
      <w:pPr>
        <w:pStyle w:val="23"/>
        <w:rPr>
          <w:rFonts w:hint="eastAsia"/>
          <w:highlight w:val="none"/>
          <w:lang w:eastAsia="zh-CN"/>
        </w:rPr>
      </w:pPr>
    </w:p>
    <w:p w14:paraId="7ACC2680">
      <w:pPr>
        <w:pStyle w:val="23"/>
        <w:rPr>
          <w:rFonts w:hint="eastAsia"/>
          <w:highlight w:val="none"/>
          <w:lang w:eastAsia="zh-CN"/>
        </w:rPr>
      </w:pPr>
    </w:p>
    <w:p w14:paraId="2A4B594F">
      <w:pPr>
        <w:pStyle w:val="23"/>
        <w:rPr>
          <w:rFonts w:hint="eastAsia"/>
          <w:highlight w:val="none"/>
          <w:lang w:eastAsia="zh-CN"/>
        </w:rPr>
      </w:pPr>
    </w:p>
    <w:p w14:paraId="372E8C4A">
      <w:pPr>
        <w:pStyle w:val="23"/>
        <w:rPr>
          <w:rFonts w:hint="eastAsia"/>
          <w:highlight w:val="none"/>
          <w:lang w:eastAsia="zh-CN"/>
        </w:rPr>
      </w:pPr>
    </w:p>
    <w:p w14:paraId="3B62B16F">
      <w:pPr>
        <w:pStyle w:val="23"/>
        <w:rPr>
          <w:rFonts w:hint="eastAsia"/>
          <w:highlight w:val="none"/>
          <w:lang w:eastAsia="zh-CN"/>
        </w:rPr>
      </w:pPr>
    </w:p>
    <w:p w14:paraId="1990A148">
      <w:pPr>
        <w:pStyle w:val="23"/>
        <w:rPr>
          <w:rFonts w:hint="eastAsia"/>
          <w:highlight w:val="none"/>
          <w:lang w:eastAsia="zh-CN"/>
        </w:rPr>
      </w:pPr>
    </w:p>
    <w:p w14:paraId="6B00F0FA">
      <w:pPr>
        <w:pStyle w:val="23"/>
        <w:rPr>
          <w:rFonts w:hint="eastAsia"/>
          <w:highlight w:val="none"/>
          <w:lang w:eastAsia="zh-CN"/>
        </w:rPr>
      </w:pPr>
    </w:p>
    <w:p w14:paraId="5F0B39CB">
      <w:pPr>
        <w:pStyle w:val="23"/>
        <w:rPr>
          <w:rFonts w:hint="eastAsia"/>
          <w:highlight w:val="none"/>
          <w:lang w:eastAsia="zh-CN"/>
        </w:rPr>
      </w:pPr>
    </w:p>
    <w:p w14:paraId="7203B286">
      <w:pPr>
        <w:pStyle w:val="23"/>
        <w:rPr>
          <w:rFonts w:hint="eastAsia"/>
          <w:highlight w:val="none"/>
          <w:lang w:eastAsia="zh-CN"/>
        </w:rPr>
      </w:pPr>
    </w:p>
    <w:p w14:paraId="4F33B64D">
      <w:pPr>
        <w:rPr>
          <w:rFonts w:hint="eastAsia"/>
          <w:highlight w:val="none"/>
          <w:lang w:eastAsia="zh-CN"/>
        </w:rPr>
      </w:pPr>
    </w:p>
    <w:p w14:paraId="265B2301">
      <w:pPr>
        <w:pStyle w:val="23"/>
        <w:rPr>
          <w:rFonts w:hint="eastAsia"/>
          <w:highlight w:val="none"/>
          <w:lang w:eastAsia="zh-CN"/>
        </w:rPr>
      </w:pPr>
    </w:p>
    <w:p w14:paraId="701F5FFE">
      <w:pPr>
        <w:pStyle w:val="2"/>
        <w:bidi w:val="0"/>
        <w:rPr>
          <w:rFonts w:hint="eastAsia"/>
          <w:highlight w:val="none"/>
          <w:lang w:eastAsia="zh-CN"/>
        </w:rPr>
      </w:pPr>
      <w:bookmarkStart w:id="48" w:name="_Toc3521"/>
      <w:r>
        <w:rPr>
          <w:rFonts w:hint="eastAsia"/>
          <w:highlight w:val="none"/>
        </w:rPr>
        <w:t>第</w:t>
      </w:r>
      <w:r>
        <w:rPr>
          <w:rFonts w:hint="eastAsia"/>
          <w:highlight w:val="none"/>
          <w:lang w:eastAsia="zh-CN"/>
        </w:rPr>
        <w:t>三</w:t>
      </w:r>
      <w:r>
        <w:rPr>
          <w:rFonts w:hint="eastAsia"/>
          <w:highlight w:val="none"/>
        </w:rPr>
        <w:t xml:space="preserve">部分    </w:t>
      </w:r>
      <w:r>
        <w:rPr>
          <w:rFonts w:hint="eastAsia"/>
          <w:highlight w:val="none"/>
          <w:lang w:eastAsia="zh-CN"/>
        </w:rPr>
        <w:t>询价内容</w:t>
      </w:r>
      <w:r>
        <w:rPr>
          <w:rFonts w:hint="eastAsia"/>
          <w:highlight w:val="none"/>
        </w:rPr>
        <w:t>及要求</w:t>
      </w:r>
      <w:bookmarkEnd w:id="48"/>
    </w:p>
    <w:p w14:paraId="0395FC56">
      <w:pPr>
        <w:numPr>
          <w:ilvl w:val="0"/>
          <w:numId w:val="0"/>
        </w:numPr>
        <w:spacing w:line="440" w:lineRule="exact"/>
        <w:outlineLvl w:val="1"/>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一、基本技术参数及要求</w:t>
      </w:r>
    </w:p>
    <w:p w14:paraId="13577065">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（一）监理的范围和内容</w:t>
      </w:r>
    </w:p>
    <w:p w14:paraId="3A63862C">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1. 监理范围包括：</w:t>
      </w:r>
    </w:p>
    <w:p w14:paraId="0E446D24">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1）监理服务范围：隶属于D区学生公寓楼智能化建设采购项目（以下简称建设项目）的施工准备期、施工期、项目质量保修期阶段的质量控制、投资控制、进度控制、组织协调、合同管理、安全文明的全部监理工作。</w:t>
      </w:r>
    </w:p>
    <w:p w14:paraId="119BD109">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（2）工作范围：</w:t>
      </w:r>
    </w:p>
    <w:p w14:paraId="190C22BB">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a.项目的施工全过程监理；</w:t>
      </w:r>
    </w:p>
    <w:p w14:paraId="6C79187C">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b.质量、进度、安全、计量支付与合同管理等。</w:t>
      </w:r>
    </w:p>
    <w:p w14:paraId="3A8FB6AF">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（3）服务目标：建设项目质量目标为合格，项目进度、安全和造价控制满足合同要求。</w:t>
      </w:r>
    </w:p>
    <w:p w14:paraId="606BA186">
      <w:pPr>
        <w:spacing w:line="440" w:lineRule="exact"/>
        <w:ind w:firstLine="480" w:firstLineChars="200"/>
        <w:rPr>
          <w:rFonts w:hint="eastAsia" w:hAnsi="宋体"/>
          <w:color w:val="auto"/>
          <w:sz w:val="24"/>
          <w:highlight w:val="none"/>
          <w:lang w:val="en-US" w:eastAsia="zh-CN"/>
        </w:rPr>
      </w:pPr>
      <w:r>
        <w:rPr>
          <w:rFonts w:hint="eastAsia" w:ascii="宋体" w:hAnsi="宋体"/>
          <w:b w:val="0"/>
          <w:bCs w:val="0"/>
          <w:color w:val="auto"/>
          <w:sz w:val="24"/>
          <w:highlight w:val="none"/>
          <w:lang w:val="en-US" w:eastAsia="zh-CN"/>
        </w:rPr>
        <w:t>（4）质量要求：符合《工程施工质量验收规范》等相关规范并达到合格标准。</w:t>
      </w:r>
    </w:p>
    <w:p w14:paraId="16F008DF">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2. 监理工作内容还包括：制定监理规划细则，三控三管一协调。</w:t>
      </w:r>
    </w:p>
    <w:p w14:paraId="396797CB">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（二）监理与相关服务依据</w:t>
      </w:r>
    </w:p>
    <w:p w14:paraId="4682A528">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1. 监理依据包括：</w:t>
      </w:r>
    </w:p>
    <w:p w14:paraId="03541D5C">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（1）《中华人民共和国招标投标法》、《中华人民共和国建筑法》、《中华人民共和国</w:t>
      </w:r>
      <w:bookmarkStart w:id="101" w:name="_GoBack"/>
      <w:bookmarkEnd w:id="101"/>
      <w:r>
        <w:rPr>
          <w:rFonts w:hint="eastAsia" w:hAnsi="宋体"/>
          <w:color w:val="auto"/>
          <w:sz w:val="24"/>
          <w:highlight w:val="none"/>
          <w:lang w:val="en-US" w:eastAsia="zh-CN"/>
        </w:rPr>
        <w:t xml:space="preserve">民法典》、《建设工程质量管理条例》、《建设工程安全生产管理条例》、《安全生产许可证条例》、《房屋建筑工程质量保修办法》、《实施工程建设强制性标准监督规定》、《工程监理企业资质管理规定》、《房屋建筑和市政基础设施工程施工分包管理办法》、《建筑施工企业安全生产许可证管理规定》、《建设工程质量检测管理办法》、《房屋建筑工程和市政基础设施工程竣工验收暂行规定》等工程建设相关的法律、法规、规章和规定； </w:t>
      </w:r>
    </w:p>
    <w:p w14:paraId="6C1177C2">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（2）《建设工程监理规范》（GB/T 50319-2013），有关行业标准、技术规范，其它有关建设管理的文件；</w:t>
      </w:r>
    </w:p>
    <w:p w14:paraId="4B8041A0">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（3）建设项目设计及有关文件，建设项目清单及说明；</w:t>
      </w:r>
    </w:p>
    <w:p w14:paraId="088EDB06">
      <w:pPr>
        <w:spacing w:line="440" w:lineRule="exact"/>
        <w:ind w:firstLine="480" w:firstLineChars="200"/>
        <w:rPr>
          <w:rFonts w:hint="eastAsia" w:hAnsi="宋体"/>
          <w:color w:val="auto"/>
          <w:sz w:val="24"/>
          <w:highlight w:val="none"/>
          <w:lang w:val="en-US" w:eastAsia="zh-CN"/>
        </w:rPr>
      </w:pPr>
      <w:r>
        <w:rPr>
          <w:rFonts w:hint="eastAsia" w:hAnsi="宋体"/>
          <w:color w:val="auto"/>
          <w:sz w:val="24"/>
          <w:highlight w:val="none"/>
          <w:lang w:val="en-US" w:eastAsia="zh-CN"/>
        </w:rPr>
        <w:t>（4）本合同及委托人与第三方签订的与实施建设项目有关的其他合同（若有）。</w:t>
      </w:r>
    </w:p>
    <w:p w14:paraId="6C151469">
      <w:pPr>
        <w:spacing w:line="440" w:lineRule="exact"/>
        <w:ind w:firstLine="480" w:firstLineChars="200"/>
        <w:rPr>
          <w:rFonts w:hint="eastAsia" w:hAnsi="宋体" w:eastAsia="宋体"/>
          <w:color w:val="auto"/>
          <w:sz w:val="24"/>
          <w:highlight w:val="none"/>
          <w:lang w:val="en-US" w:eastAsia="zh-CN"/>
        </w:rPr>
      </w:pPr>
      <w:r>
        <w:rPr>
          <w:rFonts w:hint="eastAsia" w:hAnsi="宋体"/>
          <w:color w:val="auto"/>
          <w:sz w:val="24"/>
          <w:highlight w:val="none"/>
          <w:lang w:val="en-US" w:eastAsia="zh-CN"/>
        </w:rPr>
        <w:t>2. 相关服务依据包括：相关监理规范及本合同。</w:t>
      </w:r>
    </w:p>
    <w:p w14:paraId="6DE92697">
      <w:pPr>
        <w:spacing w:line="440" w:lineRule="exact"/>
        <w:ind w:firstLine="480" w:firstLineChars="200"/>
        <w:rPr>
          <w:rFonts w:hint="eastAsia" w:hAnsi="宋体" w:eastAsia="宋体"/>
          <w:color w:val="auto"/>
          <w:sz w:val="24"/>
          <w:highlight w:val="none"/>
          <w:lang w:val="en-US" w:eastAsia="zh-CN"/>
        </w:rPr>
      </w:pPr>
    </w:p>
    <w:p w14:paraId="71CD4F68">
      <w:pPr>
        <w:pStyle w:val="23"/>
        <w:outlineLvl w:val="1"/>
        <w:rPr>
          <w:rFonts w:hint="eastAsia" w:ascii="宋体" w:hAnsi="宋体" w:eastAsia="楷体_GB2312"/>
          <w:b/>
          <w:color w:val="auto"/>
          <w:kern w:val="0"/>
          <w:sz w:val="24"/>
          <w:highlight w:val="none"/>
          <w:lang w:val="en-US" w:eastAsia="zh-CN"/>
        </w:rPr>
      </w:pPr>
      <w:r>
        <w:rPr>
          <w:rFonts w:hint="eastAsia" w:ascii="宋体" w:hAnsi="宋体" w:eastAsia="宋体" w:cs="Times New Roman"/>
          <w:b/>
          <w:color w:val="auto"/>
          <w:kern w:val="0"/>
          <w:sz w:val="24"/>
          <w:szCs w:val="24"/>
          <w:highlight w:val="none"/>
          <w:lang w:val="en-US" w:eastAsia="zh-CN" w:bidi="ar-SA"/>
        </w:rPr>
        <w:t>二、项目交付</w:t>
      </w:r>
    </w:p>
    <w:p w14:paraId="0F9527E0">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供应商</w:t>
      </w:r>
      <w:r>
        <w:rPr>
          <w:rFonts w:hint="eastAsia" w:hAnsi="宋体"/>
          <w:color w:val="auto"/>
          <w:sz w:val="24"/>
          <w:highlight w:val="none"/>
          <w:lang w:val="en-US" w:eastAsia="zh-CN"/>
        </w:rPr>
        <w:t>应提交的报告包括但不限于监理规划、监理实施细则、监理进度报告、监理总结报告等。</w:t>
      </w:r>
    </w:p>
    <w:p w14:paraId="3292B083">
      <w:pPr>
        <w:spacing w:line="440" w:lineRule="exact"/>
        <w:outlineLvl w:val="1"/>
        <w:rPr>
          <w:rFonts w:hint="eastAsia" w:ascii="宋体" w:hAnsi="宋体"/>
          <w:b/>
          <w:bCs/>
          <w:color w:val="auto"/>
          <w:sz w:val="24"/>
          <w:highlight w:val="none"/>
          <w:lang w:val="en-US" w:eastAsia="zh-CN"/>
        </w:rPr>
      </w:pPr>
      <w:bookmarkStart w:id="49" w:name="_Toc358109805"/>
      <w:bookmarkStart w:id="50" w:name="_Toc394319916"/>
      <w:bookmarkStart w:id="51" w:name="_Toc416379639"/>
      <w:bookmarkStart w:id="52" w:name="_Toc57451666"/>
      <w:bookmarkStart w:id="53" w:name="_Toc425276504"/>
      <w:bookmarkStart w:id="54" w:name="_Toc478753855"/>
    </w:p>
    <w:p w14:paraId="7E39E5BC">
      <w:pPr>
        <w:spacing w:line="440" w:lineRule="exact"/>
        <w:outlineLvl w:val="1"/>
        <w:rPr>
          <w:rFonts w:hint="eastAsia" w:ascii="宋体" w:hAnsi="宋体"/>
          <w:b/>
          <w:bCs/>
          <w:color w:val="auto"/>
          <w:sz w:val="24"/>
          <w:highlight w:val="none"/>
          <w:lang w:val="en-US" w:eastAsia="zh-CN"/>
        </w:rPr>
      </w:pPr>
    </w:p>
    <w:p w14:paraId="01080BF3">
      <w:pPr>
        <w:spacing w:line="440" w:lineRule="exact"/>
        <w:outlineLvl w:val="1"/>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三</w:t>
      </w:r>
      <w:r>
        <w:rPr>
          <w:rFonts w:hint="eastAsia" w:ascii="宋体" w:hAnsi="宋体"/>
          <w:b/>
          <w:bCs/>
          <w:color w:val="auto"/>
          <w:sz w:val="24"/>
          <w:highlight w:val="none"/>
        </w:rPr>
        <w:t>、</w:t>
      </w:r>
      <w:r>
        <w:rPr>
          <w:rFonts w:hint="eastAsia" w:ascii="宋体" w:hAnsi="宋体"/>
          <w:b/>
          <w:bCs/>
          <w:color w:val="auto"/>
          <w:sz w:val="24"/>
          <w:highlight w:val="none"/>
          <w:lang w:eastAsia="zh-CN"/>
        </w:rPr>
        <w:t>项目验收</w:t>
      </w:r>
    </w:p>
    <w:bookmarkEnd w:id="49"/>
    <w:bookmarkEnd w:id="50"/>
    <w:p w14:paraId="356B2A59">
      <w:pPr>
        <w:spacing w:line="440" w:lineRule="exact"/>
        <w:ind w:firstLine="480" w:firstLineChars="200"/>
        <w:rPr>
          <w:rFonts w:hint="eastAsia" w:hAnsi="宋体" w:eastAsia="宋体"/>
          <w:color w:val="auto"/>
          <w:sz w:val="24"/>
          <w:highlight w:val="none"/>
          <w:lang w:val="en-US" w:eastAsia="zh-CN"/>
        </w:rPr>
      </w:pPr>
      <w:bookmarkStart w:id="55" w:name="_Toc491700052"/>
      <w:bookmarkStart w:id="56" w:name="_Toc358109807"/>
      <w:bookmarkStart w:id="57" w:name="_Toc285393068"/>
      <w:bookmarkStart w:id="58" w:name="_Toc394319918"/>
      <w:bookmarkStart w:id="59" w:name="_Toc430269118"/>
      <w:bookmarkStart w:id="60" w:name="_Toc430269287"/>
      <w:bookmarkStart w:id="61" w:name="_Toc394319917"/>
      <w:bookmarkStart w:id="62" w:name="_Toc358109806"/>
      <w:r>
        <w:rPr>
          <w:rFonts w:hint="eastAsia" w:hAnsi="宋体" w:eastAsia="宋体"/>
          <w:color w:val="auto"/>
          <w:sz w:val="24"/>
          <w:highlight w:val="none"/>
          <w:lang w:val="en-US" w:eastAsia="zh-CN"/>
        </w:rPr>
        <w:t>（一）验收标准</w:t>
      </w:r>
    </w:p>
    <w:p w14:paraId="211D2C05">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按厂家设备验收标准(符合国家或行业或地方标准)、招标文件、投标文件、合同等相关文件执行。验收结果应符合采购人使用要求。</w:t>
      </w:r>
    </w:p>
    <w:p w14:paraId="615A09B0">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（二）验收程序</w:t>
      </w:r>
    </w:p>
    <w:p w14:paraId="014194FB">
      <w:pPr>
        <w:spacing w:line="440" w:lineRule="exact"/>
        <w:ind w:firstLine="480" w:firstLineChars="200"/>
        <w:rPr>
          <w:rFonts w:hint="default" w:ascii="Times New Roman" w:hAnsi="宋体" w:eastAsia="宋体" w:cs="Times New Roman"/>
          <w:color w:val="auto"/>
          <w:sz w:val="24"/>
          <w:highlight w:val="none"/>
          <w:lang w:val="en-US" w:eastAsia="zh-CN"/>
        </w:rPr>
      </w:pPr>
      <w:r>
        <w:rPr>
          <w:rFonts w:hint="eastAsia" w:ascii="Times New Roman" w:hAnsi="宋体" w:eastAsia="宋体" w:cs="Times New Roman"/>
          <w:color w:val="auto"/>
          <w:sz w:val="24"/>
          <w:highlight w:val="none"/>
          <w:lang w:val="en-US" w:eastAsia="zh-CN"/>
        </w:rPr>
        <w:t>D区学生公寓楼智能化建设采购项目</w:t>
      </w:r>
      <w:r>
        <w:rPr>
          <w:rFonts w:hint="eastAsia" w:hAnsi="宋体" w:cs="Times New Roman"/>
          <w:color w:val="auto"/>
          <w:sz w:val="24"/>
          <w:highlight w:val="none"/>
          <w:lang w:val="en-US" w:eastAsia="zh-CN"/>
        </w:rPr>
        <w:t>验收合格</w:t>
      </w:r>
      <w:r>
        <w:rPr>
          <w:rFonts w:hint="eastAsia" w:ascii="Times New Roman" w:hAnsi="宋体" w:cs="Times New Roman"/>
          <w:color w:val="auto"/>
          <w:sz w:val="24"/>
          <w:highlight w:val="none"/>
          <w:lang w:val="en-US" w:eastAsia="zh-CN"/>
        </w:rPr>
        <w:t>即</w:t>
      </w:r>
      <w:r>
        <w:rPr>
          <w:rFonts w:hint="eastAsia" w:hAnsi="宋体" w:cs="Times New Roman"/>
          <w:color w:val="auto"/>
          <w:sz w:val="24"/>
          <w:highlight w:val="none"/>
          <w:lang w:val="en-US" w:eastAsia="zh-CN"/>
        </w:rPr>
        <w:t>本合同</w:t>
      </w:r>
      <w:r>
        <w:rPr>
          <w:rFonts w:hint="eastAsia" w:ascii="Times New Roman" w:hAnsi="宋体" w:cs="Times New Roman"/>
          <w:color w:val="auto"/>
          <w:sz w:val="24"/>
          <w:highlight w:val="none"/>
          <w:lang w:val="en-US" w:eastAsia="zh-CN"/>
        </w:rPr>
        <w:t>验收合格。</w:t>
      </w:r>
    </w:p>
    <w:p w14:paraId="3867962C">
      <w:pPr>
        <w:spacing w:line="440" w:lineRule="exact"/>
        <w:ind w:firstLine="480" w:firstLineChars="200"/>
        <w:rPr>
          <w:rFonts w:hint="eastAsia" w:ascii="Times New Roman" w:hAnsi="宋体" w:eastAsia="宋体" w:cs="Times New Roman"/>
          <w:color w:val="auto"/>
          <w:sz w:val="24"/>
          <w:highlight w:val="none"/>
          <w:lang w:val="en-US" w:eastAsia="zh-CN"/>
        </w:rPr>
      </w:pPr>
    </w:p>
    <w:p w14:paraId="5F47BEBE">
      <w:pPr>
        <w:spacing w:line="440" w:lineRule="exact"/>
        <w:outlineLvl w:val="1"/>
        <w:rPr>
          <w:rFonts w:hint="eastAsia" w:hAnsi="宋体"/>
          <w:b/>
          <w:bCs/>
          <w:color w:val="auto"/>
          <w:sz w:val="24"/>
          <w:highlight w:val="none"/>
        </w:rPr>
      </w:pPr>
      <w:r>
        <w:rPr>
          <w:rFonts w:hint="eastAsia" w:hAnsi="宋体"/>
          <w:b/>
          <w:bCs/>
          <w:color w:val="auto"/>
          <w:sz w:val="24"/>
          <w:highlight w:val="none"/>
          <w:lang w:val="en-US" w:eastAsia="zh-CN"/>
        </w:rPr>
        <w:t>四</w:t>
      </w:r>
      <w:r>
        <w:rPr>
          <w:rFonts w:hAnsi="宋体"/>
          <w:b/>
          <w:bCs/>
          <w:color w:val="auto"/>
          <w:sz w:val="24"/>
          <w:highlight w:val="none"/>
        </w:rPr>
        <w:t>、报价</w:t>
      </w:r>
      <w:r>
        <w:rPr>
          <w:rFonts w:hint="eastAsia" w:hAnsi="宋体"/>
          <w:b/>
          <w:bCs/>
          <w:color w:val="auto"/>
          <w:sz w:val="24"/>
          <w:highlight w:val="none"/>
        </w:rPr>
        <w:t>要求</w:t>
      </w:r>
    </w:p>
    <w:bookmarkEnd w:id="55"/>
    <w:bookmarkEnd w:id="56"/>
    <w:bookmarkEnd w:id="57"/>
    <w:bookmarkEnd w:id="58"/>
    <w:bookmarkEnd w:id="59"/>
    <w:bookmarkEnd w:id="60"/>
    <w:p w14:paraId="2922A608">
      <w:pPr>
        <w:spacing w:line="440" w:lineRule="exact"/>
        <w:ind w:firstLine="480" w:firstLineChars="200"/>
        <w:rPr>
          <w:rFonts w:hint="eastAsia" w:hAnsi="宋体"/>
          <w:b/>
          <w:bCs/>
          <w:color w:val="auto"/>
          <w:sz w:val="24"/>
          <w:highlight w:val="none"/>
        </w:rPr>
      </w:pPr>
      <w:bookmarkStart w:id="63" w:name="_Toc491700053"/>
      <w:r>
        <w:rPr>
          <w:rFonts w:hAnsi="宋体"/>
          <w:color w:val="auto"/>
          <w:sz w:val="24"/>
          <w:highlight w:val="none"/>
        </w:rPr>
        <w:t>1、</w:t>
      </w:r>
      <w:r>
        <w:rPr>
          <w:rFonts w:hint="eastAsia" w:hAnsi="宋体"/>
          <w:color w:val="auto"/>
          <w:sz w:val="24"/>
          <w:highlight w:val="none"/>
        </w:rPr>
        <w:t>投标报价指为完成指定服务所需投入的人工、材料、交通运输费、利润、税金、售后服务费、政策性文件规定费用以及所有风险与责任等一切费用。</w:t>
      </w:r>
      <w:r>
        <w:rPr>
          <w:rFonts w:hint="eastAsia" w:hAnsi="宋体"/>
          <w:color w:val="auto"/>
          <w:sz w:val="24"/>
          <w:highlight w:val="none"/>
          <w:lang w:val="en-US" w:eastAsia="zh-CN"/>
        </w:rPr>
        <w:t>报价</w:t>
      </w:r>
      <w:r>
        <w:rPr>
          <w:rFonts w:hint="eastAsia" w:hAnsi="宋体"/>
          <w:color w:val="auto"/>
          <w:sz w:val="24"/>
          <w:highlight w:val="none"/>
        </w:rPr>
        <w:t>供应商报价应包括项目所涉及的所有费用进行报价，</w:t>
      </w:r>
      <w:r>
        <w:rPr>
          <w:rFonts w:hint="eastAsia" w:hAnsi="宋体"/>
          <w:color w:val="auto"/>
          <w:sz w:val="24"/>
          <w:highlight w:val="none"/>
          <w:lang w:val="en-US" w:eastAsia="zh-CN"/>
        </w:rPr>
        <w:t>报价</w:t>
      </w:r>
      <w:r>
        <w:rPr>
          <w:rFonts w:hint="eastAsia" w:hAnsi="宋体"/>
          <w:color w:val="auto"/>
          <w:sz w:val="24"/>
          <w:highlight w:val="none"/>
        </w:rPr>
        <w:t>供应商报价应包含完成本项目所涉及的所有费用。</w:t>
      </w:r>
    </w:p>
    <w:p w14:paraId="769A821E">
      <w:pPr>
        <w:spacing w:line="440" w:lineRule="exact"/>
        <w:ind w:firstLine="480" w:firstLineChars="200"/>
        <w:rPr>
          <w:rFonts w:ascii="宋体" w:hAnsi="宋体"/>
          <w:color w:val="auto"/>
          <w:sz w:val="24"/>
          <w:highlight w:val="none"/>
        </w:rPr>
      </w:pPr>
      <w:r>
        <w:rPr>
          <w:rFonts w:hint="eastAsia" w:ascii="宋体" w:hAnsi="宋体"/>
          <w:bCs/>
          <w:color w:val="auto"/>
          <w:kern w:val="0"/>
          <w:sz w:val="24"/>
          <w:highlight w:val="none"/>
          <w:lang w:val="en-US" w:eastAsia="zh-CN"/>
        </w:rPr>
        <w:t>2</w:t>
      </w:r>
      <w:r>
        <w:rPr>
          <w:rFonts w:ascii="宋体" w:hAnsi="宋体"/>
          <w:bCs/>
          <w:color w:val="auto"/>
          <w:kern w:val="0"/>
          <w:sz w:val="24"/>
          <w:highlight w:val="none"/>
        </w:rPr>
        <w:t>、</w:t>
      </w:r>
      <w:r>
        <w:rPr>
          <w:rFonts w:ascii="宋体" w:hAnsi="宋体"/>
          <w:color w:val="auto"/>
          <w:sz w:val="24"/>
          <w:highlight w:val="none"/>
        </w:rPr>
        <w:t>各供应商报价时应综合考虑日后属政策性调整、各种材料市场价格的浮动等因素造成的货物价格变动，上述价格变动不予调整。</w:t>
      </w:r>
    </w:p>
    <w:p w14:paraId="2D84417D">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highlight w:val="none"/>
        </w:rPr>
        <w:t>各供应商</w:t>
      </w:r>
      <w:r>
        <w:rPr>
          <w:rFonts w:hint="eastAsia" w:ascii="宋体" w:hAnsi="宋体" w:cs="宋体"/>
          <w:color w:val="auto"/>
          <w:sz w:val="24"/>
          <w:highlight w:val="none"/>
        </w:rPr>
        <w:t>对每个合同号只允许有一个报价，不接受任何选择性的报价。</w:t>
      </w:r>
    </w:p>
    <w:p w14:paraId="271C9D64">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highlight w:val="none"/>
        </w:rPr>
        <w:t>成交供应商</w:t>
      </w:r>
      <w:r>
        <w:rPr>
          <w:rFonts w:hint="eastAsia" w:ascii="宋体" w:hAnsi="宋体" w:cs="宋体"/>
          <w:color w:val="auto"/>
          <w:sz w:val="24"/>
          <w:highlight w:val="none"/>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0AD2D6B3">
      <w:pPr>
        <w:pStyle w:val="23"/>
        <w:rPr>
          <w:highlight w:val="none"/>
        </w:rPr>
      </w:pPr>
    </w:p>
    <w:p w14:paraId="45664565">
      <w:pPr>
        <w:spacing w:line="440" w:lineRule="exact"/>
        <w:outlineLvl w:val="1"/>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五、交货地点及时间</w:t>
      </w:r>
    </w:p>
    <w:p w14:paraId="7834F8A3">
      <w:pPr>
        <w:spacing w:line="440" w:lineRule="exact"/>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交付时间：</w:t>
      </w:r>
      <w:r>
        <w:rPr>
          <w:rFonts w:hint="eastAsia" w:ascii="宋体" w:hAnsi="宋体"/>
          <w:color w:val="auto"/>
          <w:sz w:val="24"/>
          <w:highlight w:val="none"/>
          <w:lang w:val="en-US" w:eastAsia="zh-CN"/>
        </w:rPr>
        <w:t>与</w:t>
      </w:r>
      <w:r>
        <w:rPr>
          <w:rFonts w:hint="eastAsia" w:hAnsi="宋体"/>
          <w:color w:val="auto"/>
          <w:sz w:val="24"/>
          <w:highlight w:val="none"/>
          <w:lang w:val="en-US" w:eastAsia="zh-CN"/>
        </w:rPr>
        <w:t>D区学生公寓楼智能化建设采购项目同步交付</w:t>
      </w:r>
      <w:r>
        <w:rPr>
          <w:rFonts w:hint="default" w:ascii="宋体" w:hAnsi="宋体"/>
          <w:color w:val="auto"/>
          <w:sz w:val="24"/>
          <w:highlight w:val="none"/>
          <w:lang w:val="en-US" w:eastAsia="zh-CN"/>
        </w:rPr>
        <w:t>。</w:t>
      </w:r>
    </w:p>
    <w:p w14:paraId="6138C3E9">
      <w:pPr>
        <w:spacing w:line="440" w:lineRule="exact"/>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交付地点：福建省泉州市丰泽区泉州师范学院</w:t>
      </w:r>
      <w:r>
        <w:rPr>
          <w:rFonts w:hint="eastAsia" w:ascii="宋体" w:hAnsi="宋体"/>
          <w:color w:val="auto"/>
          <w:sz w:val="24"/>
          <w:highlight w:val="none"/>
          <w:lang w:val="en-US" w:eastAsia="zh-CN"/>
        </w:rPr>
        <w:t>主</w:t>
      </w:r>
      <w:r>
        <w:rPr>
          <w:rFonts w:hint="default" w:ascii="宋体" w:hAnsi="宋体"/>
          <w:color w:val="auto"/>
          <w:sz w:val="24"/>
          <w:highlight w:val="none"/>
          <w:lang w:val="en-US" w:eastAsia="zh-CN"/>
        </w:rPr>
        <w:t>校区。</w:t>
      </w:r>
    </w:p>
    <w:p w14:paraId="5AE969D4">
      <w:pPr>
        <w:pStyle w:val="23"/>
        <w:rPr>
          <w:rFonts w:hint="default"/>
          <w:highlight w:val="none"/>
          <w:lang w:val="en-US" w:eastAsia="zh-CN"/>
        </w:rPr>
      </w:pPr>
    </w:p>
    <w:bookmarkEnd w:id="51"/>
    <w:bookmarkEnd w:id="52"/>
    <w:bookmarkEnd w:id="53"/>
    <w:bookmarkEnd w:id="54"/>
    <w:bookmarkEnd w:id="61"/>
    <w:bookmarkEnd w:id="62"/>
    <w:bookmarkEnd w:id="63"/>
    <w:p w14:paraId="786265B4">
      <w:pPr>
        <w:spacing w:line="440" w:lineRule="exact"/>
        <w:outlineLvl w:val="1"/>
        <w:rPr>
          <w:rFonts w:hint="eastAsia" w:ascii="宋体" w:hAnsi="宋体"/>
          <w:b/>
          <w:color w:val="auto"/>
          <w:kern w:val="0"/>
          <w:sz w:val="24"/>
          <w:highlight w:val="none"/>
        </w:rPr>
      </w:pPr>
      <w:r>
        <w:rPr>
          <w:rFonts w:hint="eastAsia" w:ascii="宋体" w:hAnsi="宋体"/>
          <w:b/>
          <w:color w:val="auto"/>
          <w:kern w:val="0"/>
          <w:sz w:val="24"/>
          <w:highlight w:val="none"/>
          <w:lang w:val="en-US" w:eastAsia="zh-CN"/>
        </w:rPr>
        <w:t>六</w:t>
      </w:r>
      <w:r>
        <w:rPr>
          <w:rFonts w:ascii="宋体" w:hAnsi="宋体"/>
          <w:b/>
          <w:color w:val="auto"/>
          <w:kern w:val="0"/>
          <w:sz w:val="24"/>
          <w:highlight w:val="none"/>
        </w:rPr>
        <w:t>、付款方式</w:t>
      </w:r>
    </w:p>
    <w:p w14:paraId="63812E19">
      <w:pPr>
        <w:spacing w:line="440" w:lineRule="exact"/>
        <w:ind w:firstLine="480" w:firstLineChars="200"/>
        <w:rPr>
          <w:rFonts w:hint="eastAsia" w:ascii="宋体" w:hAnsi="宋体"/>
          <w:b/>
          <w:color w:val="auto"/>
          <w:kern w:val="0"/>
          <w:sz w:val="24"/>
          <w:highlight w:val="none"/>
          <w:lang w:val="en-US" w:eastAsia="zh-CN"/>
        </w:rPr>
      </w:pPr>
      <w:r>
        <w:rPr>
          <w:rFonts w:hint="eastAsia" w:hAnsi="宋体" w:eastAsia="宋体"/>
          <w:color w:val="auto"/>
          <w:sz w:val="24"/>
          <w:highlight w:val="none"/>
          <w:lang w:val="en-US" w:eastAsia="zh-CN"/>
        </w:rPr>
        <w:t>验收合格并收到</w:t>
      </w:r>
      <w:r>
        <w:rPr>
          <w:rFonts w:hint="eastAsia" w:hAnsi="宋体"/>
          <w:color w:val="auto"/>
          <w:sz w:val="24"/>
          <w:highlight w:val="none"/>
          <w:lang w:val="en-US" w:eastAsia="zh-CN"/>
        </w:rPr>
        <w:t>成交供应商</w:t>
      </w:r>
      <w:r>
        <w:rPr>
          <w:rFonts w:hint="eastAsia" w:hAnsi="宋体" w:eastAsia="宋体"/>
          <w:color w:val="auto"/>
          <w:sz w:val="24"/>
          <w:highlight w:val="none"/>
          <w:lang w:val="en-US" w:eastAsia="zh-CN"/>
        </w:rPr>
        <w:t>发票后付清合同全款。</w:t>
      </w:r>
      <w:r>
        <w:rPr>
          <w:rFonts w:hint="eastAsia" w:hAnsi="宋体"/>
          <w:color w:val="auto"/>
          <w:sz w:val="24"/>
          <w:highlight w:val="none"/>
          <w:lang w:val="en-US" w:eastAsia="zh-CN"/>
        </w:rPr>
        <w:t>中标供应商</w:t>
      </w:r>
      <w:r>
        <w:rPr>
          <w:rFonts w:hint="eastAsia" w:hAnsi="宋体" w:eastAsia="宋体"/>
          <w:color w:val="auto"/>
          <w:sz w:val="24"/>
          <w:highlight w:val="none"/>
          <w:lang w:val="en-US" w:eastAsia="zh-CN"/>
        </w:rPr>
        <w:t>出具的税务发票（100%全额发票）必须是正式合法且</w:t>
      </w:r>
      <w:r>
        <w:rPr>
          <w:rFonts w:hint="eastAsia" w:hAnsi="宋体"/>
          <w:color w:val="auto"/>
          <w:sz w:val="24"/>
          <w:highlight w:val="none"/>
          <w:lang w:val="en-US" w:eastAsia="zh-CN"/>
        </w:rPr>
        <w:t>采购人</w:t>
      </w:r>
      <w:r>
        <w:rPr>
          <w:rFonts w:hint="eastAsia" w:hAnsi="宋体" w:eastAsia="宋体"/>
          <w:color w:val="auto"/>
          <w:sz w:val="24"/>
          <w:highlight w:val="none"/>
          <w:lang w:val="en-US" w:eastAsia="zh-CN"/>
        </w:rPr>
        <w:t>当地税务部门能认可，</w:t>
      </w:r>
      <w:r>
        <w:rPr>
          <w:rFonts w:hint="eastAsia" w:hAnsi="宋体"/>
          <w:color w:val="auto"/>
          <w:sz w:val="24"/>
          <w:highlight w:val="none"/>
          <w:lang w:val="en-US" w:eastAsia="zh-CN"/>
        </w:rPr>
        <w:t>中标供应商</w:t>
      </w:r>
      <w:r>
        <w:rPr>
          <w:rFonts w:hint="eastAsia" w:hAnsi="宋体" w:eastAsia="宋体"/>
          <w:color w:val="auto"/>
          <w:sz w:val="24"/>
          <w:highlight w:val="none"/>
          <w:lang w:val="en-US" w:eastAsia="zh-CN"/>
        </w:rPr>
        <w:t>应保证</w:t>
      </w:r>
      <w:r>
        <w:rPr>
          <w:rFonts w:hint="eastAsia" w:hAnsi="宋体"/>
          <w:color w:val="auto"/>
          <w:sz w:val="24"/>
          <w:highlight w:val="none"/>
          <w:lang w:val="en-US" w:eastAsia="zh-CN"/>
        </w:rPr>
        <w:t>采购人</w:t>
      </w:r>
      <w:r>
        <w:rPr>
          <w:rFonts w:hint="eastAsia" w:hAnsi="宋体" w:eastAsia="宋体"/>
          <w:color w:val="auto"/>
          <w:sz w:val="24"/>
          <w:highlight w:val="none"/>
          <w:lang w:val="en-US" w:eastAsia="zh-CN"/>
        </w:rPr>
        <w:t>在使用时不受第三方的指控。</w:t>
      </w:r>
    </w:p>
    <w:p w14:paraId="60C7008E">
      <w:pPr>
        <w:spacing w:line="440" w:lineRule="exact"/>
        <w:rPr>
          <w:rFonts w:hint="eastAsia" w:ascii="宋体" w:hAnsi="宋体"/>
          <w:b/>
          <w:color w:val="FF0000"/>
          <w:kern w:val="0"/>
          <w:sz w:val="24"/>
          <w:highlight w:val="none"/>
          <w:lang w:val="en-US" w:eastAsia="zh-CN"/>
        </w:rPr>
      </w:pPr>
    </w:p>
    <w:p w14:paraId="02C827FE">
      <w:pPr>
        <w:spacing w:line="440" w:lineRule="exact"/>
        <w:outlineLvl w:val="1"/>
        <w:rPr>
          <w:rFonts w:hint="eastAsia" w:ascii="宋体" w:hAnsi="宋体"/>
          <w:b/>
          <w:color w:val="auto"/>
          <w:kern w:val="0"/>
          <w:sz w:val="24"/>
          <w:highlight w:val="none"/>
        </w:rPr>
      </w:pPr>
      <w:r>
        <w:rPr>
          <w:rFonts w:hint="eastAsia" w:ascii="宋体" w:hAnsi="宋体"/>
          <w:b/>
          <w:color w:val="auto"/>
          <w:kern w:val="0"/>
          <w:sz w:val="24"/>
          <w:highlight w:val="none"/>
          <w:lang w:val="en-US" w:eastAsia="zh-CN"/>
        </w:rPr>
        <w:t>七</w:t>
      </w:r>
      <w:r>
        <w:rPr>
          <w:rFonts w:hint="eastAsia" w:ascii="宋体" w:hAnsi="宋体"/>
          <w:b/>
          <w:color w:val="auto"/>
          <w:kern w:val="0"/>
          <w:sz w:val="24"/>
          <w:highlight w:val="none"/>
        </w:rPr>
        <w:t>、知识产权</w:t>
      </w:r>
    </w:p>
    <w:p w14:paraId="7023E16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2D2DA5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594F7926">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0AABB49A">
      <w:pPr>
        <w:spacing w:line="440" w:lineRule="exact"/>
        <w:outlineLvl w:val="1"/>
        <w:rPr>
          <w:rFonts w:hint="eastAsia" w:ascii="宋体" w:hAnsi="宋体"/>
          <w:b/>
          <w:color w:val="auto"/>
          <w:sz w:val="24"/>
          <w:highlight w:val="none"/>
        </w:rPr>
      </w:pPr>
      <w:r>
        <w:rPr>
          <w:rFonts w:hint="eastAsia" w:ascii="宋体" w:hAnsi="宋体"/>
          <w:b/>
          <w:color w:val="auto"/>
          <w:sz w:val="24"/>
          <w:highlight w:val="none"/>
          <w:lang w:val="en-US" w:eastAsia="zh-CN"/>
        </w:rPr>
        <w:t>八</w:t>
      </w:r>
      <w:r>
        <w:rPr>
          <w:rFonts w:hint="eastAsia" w:ascii="宋体" w:hAnsi="宋体"/>
          <w:b/>
          <w:color w:val="auto"/>
          <w:sz w:val="24"/>
          <w:highlight w:val="none"/>
        </w:rPr>
        <w:t>、违约责任</w:t>
      </w:r>
    </w:p>
    <w:p w14:paraId="036728D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合同生效后，成交供应商未经</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同意单方面终止合同的，成交供应商除了应向</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赔偿因合同终止导致的损失外，还应向</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偿付该合同款30%的违约金。</w:t>
      </w:r>
    </w:p>
    <w:p w14:paraId="24B23A1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如果成交供应商未能按合同规定的时间按时交货(或提供服务)的(不可抗力除外)，且未经</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同意延长交货(或提供服务)期的，成交供应商需向</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支付延期交货违约金。</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逾期交货的，</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应按逾期交付总额每日3%向</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支付违约金，由</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从待付货款中扣除。成交供应商无正当理由逾期超过约定日期30日仍不能交付的，视为“成交供应商不按合同约定履约”。若因此给</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造成损失的，还应赔偿</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所受的损失。</w:t>
      </w:r>
    </w:p>
    <w:p w14:paraId="7A56F143">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（三）成交供应商</w:t>
      </w:r>
      <w:r>
        <w:rPr>
          <w:rFonts w:hint="eastAsia" w:ascii="宋体" w:hAnsi="宋体" w:eastAsia="宋体" w:cs="宋体"/>
          <w:color w:val="auto"/>
          <w:kern w:val="2"/>
          <w:sz w:val="24"/>
          <w:szCs w:val="24"/>
          <w:highlight w:val="none"/>
          <w:lang w:val="en-US" w:eastAsia="zh-CN" w:bidi="ar-SA"/>
        </w:rPr>
        <w:t>所交付的产品(或提供服务)不符合合同规定及《采购文件》规定标准的，</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有权拒收，</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愿意更换产品但逾期交货的，按</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逾期交货处理。</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拒绝更换产品的，视为“</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不按合同约定约”。</w:t>
      </w:r>
    </w:p>
    <w:p w14:paraId="0B0EE1C9">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（四）成交供应商</w:t>
      </w:r>
      <w:r>
        <w:rPr>
          <w:rFonts w:hint="eastAsia" w:ascii="宋体" w:hAnsi="宋体" w:eastAsia="宋体" w:cs="宋体"/>
          <w:color w:val="auto"/>
          <w:kern w:val="2"/>
          <w:sz w:val="24"/>
          <w:szCs w:val="24"/>
          <w:highlight w:val="none"/>
          <w:lang w:val="en-US" w:eastAsia="zh-CN" w:bidi="ar-SA"/>
        </w:rPr>
        <w:t>不按合同约定履约的，</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可以解除采购合同，并对</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已缴纳的履约保证金作“不予退还”处理。同时，</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还须按向</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支付合同总价10%的违约金。违约金不足以补偿损失的，</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有权要求</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赔偿损失。</w:t>
      </w:r>
    </w:p>
    <w:p w14:paraId="2C3D3FF5">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（五）成交供应商</w:t>
      </w:r>
      <w:r>
        <w:rPr>
          <w:rFonts w:hint="eastAsia" w:ascii="宋体" w:hAnsi="宋体" w:eastAsia="宋体" w:cs="宋体"/>
          <w:color w:val="auto"/>
          <w:kern w:val="2"/>
          <w:sz w:val="24"/>
          <w:szCs w:val="24"/>
          <w:highlight w:val="none"/>
          <w:lang w:val="en-US" w:eastAsia="zh-CN" w:bidi="ar-SA"/>
        </w:rPr>
        <w:t>如有下列违约行为之一，</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有权终止合同，</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赔偿</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的一切损失。</w:t>
      </w:r>
    </w:p>
    <w:p w14:paraId="004159F4">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1. </w:t>
      </w:r>
      <w:r>
        <w:rPr>
          <w:rFonts w:hint="eastAsia" w:ascii="宋体" w:hAnsi="宋体" w:eastAsia="宋体" w:cs="宋体"/>
          <w:color w:val="auto"/>
          <w:kern w:val="2"/>
          <w:sz w:val="24"/>
          <w:szCs w:val="24"/>
          <w:highlight w:val="none"/>
          <w:lang w:val="en-US" w:eastAsia="zh-CN" w:bidi="ar-SA"/>
        </w:rPr>
        <w:t>不能达到《招标文件》及投标承诺的要求</w:t>
      </w:r>
      <w:r>
        <w:rPr>
          <w:rFonts w:hint="eastAsia" w:ascii="宋体" w:hAnsi="宋体" w:cs="宋体"/>
          <w:color w:val="auto"/>
          <w:kern w:val="2"/>
          <w:sz w:val="24"/>
          <w:szCs w:val="24"/>
          <w:highlight w:val="none"/>
          <w:lang w:val="en-US" w:eastAsia="zh-CN" w:bidi="ar-SA"/>
        </w:rPr>
        <w:t>；</w:t>
      </w:r>
    </w:p>
    <w:p w14:paraId="741964C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2. </w:t>
      </w:r>
      <w:r>
        <w:rPr>
          <w:rFonts w:hint="eastAsia" w:ascii="宋体" w:hAnsi="宋体" w:eastAsia="宋体" w:cs="宋体"/>
          <w:color w:val="auto"/>
          <w:kern w:val="2"/>
          <w:sz w:val="24"/>
          <w:szCs w:val="24"/>
          <w:highlight w:val="none"/>
          <w:lang w:val="en-US" w:eastAsia="zh-CN" w:bidi="ar-SA"/>
        </w:rPr>
        <w:t>最终验收不合格</w:t>
      </w:r>
      <w:r>
        <w:rPr>
          <w:rFonts w:hint="eastAsia" w:ascii="宋体" w:hAnsi="宋体" w:cs="宋体"/>
          <w:color w:val="auto"/>
          <w:kern w:val="2"/>
          <w:sz w:val="24"/>
          <w:szCs w:val="24"/>
          <w:highlight w:val="none"/>
          <w:lang w:val="en-US" w:eastAsia="zh-CN" w:bidi="ar-SA"/>
        </w:rPr>
        <w:t>；</w:t>
      </w:r>
    </w:p>
    <w:p w14:paraId="7D3265B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3. </w:t>
      </w:r>
      <w:r>
        <w:rPr>
          <w:rFonts w:hint="eastAsia" w:ascii="宋体" w:hAnsi="宋体" w:eastAsia="宋体" w:cs="宋体"/>
          <w:color w:val="auto"/>
          <w:kern w:val="2"/>
          <w:sz w:val="24"/>
          <w:szCs w:val="24"/>
          <w:highlight w:val="none"/>
          <w:lang w:val="en-US" w:eastAsia="zh-CN" w:bidi="ar-SA"/>
        </w:rPr>
        <w:t>未经</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同意将项目转包他人</w:t>
      </w:r>
      <w:r>
        <w:rPr>
          <w:rFonts w:hint="eastAsia" w:ascii="宋体" w:hAnsi="宋体" w:cs="宋体"/>
          <w:color w:val="auto"/>
          <w:kern w:val="2"/>
          <w:sz w:val="24"/>
          <w:szCs w:val="24"/>
          <w:highlight w:val="none"/>
          <w:lang w:val="en-US" w:eastAsia="zh-CN" w:bidi="ar-SA"/>
        </w:rPr>
        <w:t>；</w:t>
      </w:r>
    </w:p>
    <w:p w14:paraId="3395D344">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 成交供应商</w:t>
      </w:r>
      <w:r>
        <w:rPr>
          <w:rFonts w:hint="eastAsia" w:ascii="宋体" w:hAnsi="宋体" w:eastAsia="宋体" w:cs="宋体"/>
          <w:color w:val="auto"/>
          <w:kern w:val="2"/>
          <w:sz w:val="24"/>
          <w:szCs w:val="24"/>
          <w:highlight w:val="none"/>
          <w:lang w:val="en-US" w:eastAsia="zh-CN" w:bidi="ar-SA"/>
        </w:rPr>
        <w:t>违反双方签署合同书的其他主要条款</w:t>
      </w:r>
      <w:r>
        <w:rPr>
          <w:rFonts w:hint="eastAsia" w:ascii="宋体" w:hAnsi="宋体" w:cs="宋体"/>
          <w:color w:val="auto"/>
          <w:kern w:val="2"/>
          <w:sz w:val="24"/>
          <w:szCs w:val="24"/>
          <w:highlight w:val="none"/>
          <w:lang w:val="en-US" w:eastAsia="zh-CN" w:bidi="ar-SA"/>
        </w:rPr>
        <w:t>；</w:t>
      </w:r>
    </w:p>
    <w:p w14:paraId="0BB65C18">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（六）成交供应商</w:t>
      </w:r>
      <w:r>
        <w:rPr>
          <w:rFonts w:hint="eastAsia" w:ascii="宋体" w:hAnsi="宋体" w:eastAsia="宋体" w:cs="宋体"/>
          <w:color w:val="auto"/>
          <w:kern w:val="2"/>
          <w:sz w:val="24"/>
          <w:szCs w:val="24"/>
          <w:highlight w:val="none"/>
          <w:lang w:val="en-US" w:eastAsia="zh-CN" w:bidi="ar-SA"/>
        </w:rPr>
        <w:t>在</w:t>
      </w:r>
      <w:r>
        <w:rPr>
          <w:rFonts w:hint="eastAsia" w:ascii="宋体" w:hAnsi="宋体" w:cs="宋体"/>
          <w:color w:val="auto"/>
          <w:kern w:val="2"/>
          <w:sz w:val="24"/>
          <w:szCs w:val="24"/>
          <w:highlight w:val="none"/>
          <w:lang w:val="en-US" w:eastAsia="zh-CN" w:bidi="ar-SA"/>
        </w:rPr>
        <w:t>合同履行过程</w:t>
      </w:r>
      <w:r>
        <w:rPr>
          <w:rFonts w:hint="eastAsia" w:ascii="宋体" w:hAnsi="宋体" w:eastAsia="宋体" w:cs="宋体"/>
          <w:color w:val="auto"/>
          <w:kern w:val="2"/>
          <w:sz w:val="24"/>
          <w:szCs w:val="24"/>
          <w:highlight w:val="none"/>
          <w:lang w:val="en-US" w:eastAsia="zh-CN" w:bidi="ar-SA"/>
        </w:rPr>
        <w:t>中产生的一切意外事故，包括不可抗拒力因素造成的事故，造成损坏</w:t>
      </w:r>
      <w:r>
        <w:rPr>
          <w:rFonts w:hint="eastAsia" w:ascii="宋体" w:hAnsi="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val="en-US" w:eastAsia="zh-CN" w:bidi="ar-SA"/>
        </w:rPr>
        <w:t>概由</w:t>
      </w:r>
      <w:r>
        <w:rPr>
          <w:rFonts w:hint="eastAsia" w:ascii="宋体" w:hAnsi="宋体" w:cs="宋体"/>
          <w:color w:val="auto"/>
          <w:kern w:val="2"/>
          <w:sz w:val="24"/>
          <w:szCs w:val="24"/>
          <w:highlight w:val="none"/>
          <w:lang w:val="en-US" w:eastAsia="zh-CN" w:bidi="ar-SA"/>
        </w:rPr>
        <w:t>成交供应商</w:t>
      </w:r>
      <w:r>
        <w:rPr>
          <w:rFonts w:hint="eastAsia" w:ascii="宋体" w:hAnsi="宋体" w:eastAsia="宋体" w:cs="宋体"/>
          <w:color w:val="auto"/>
          <w:kern w:val="2"/>
          <w:sz w:val="24"/>
          <w:szCs w:val="24"/>
          <w:highlight w:val="none"/>
          <w:lang w:val="en-US" w:eastAsia="zh-CN" w:bidi="ar-SA"/>
        </w:rPr>
        <w:t>负责。</w:t>
      </w:r>
    </w:p>
    <w:p w14:paraId="0A45F28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七</w:t>
      </w:r>
      <w:r>
        <w:rPr>
          <w:rFonts w:hint="eastAsia" w:ascii="宋体" w:hAnsi="宋体" w:eastAsia="宋体" w:cs="宋体"/>
          <w:color w:val="auto"/>
          <w:kern w:val="2"/>
          <w:sz w:val="24"/>
          <w:szCs w:val="24"/>
          <w:highlight w:val="none"/>
          <w:lang w:val="en-US" w:eastAsia="zh-CN" w:bidi="ar-SA"/>
        </w:rPr>
        <w:t>）因成交供应商违约对采购人造成损失的赔偿金及合同约定的违约金均可由采购人从未支付的合同款或履约保证金中扣除。</w:t>
      </w:r>
    </w:p>
    <w:p w14:paraId="2DC8BEE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八</w:t>
      </w:r>
      <w:r>
        <w:rPr>
          <w:rFonts w:hint="eastAsia" w:ascii="宋体" w:hAnsi="宋体" w:eastAsia="宋体" w:cs="宋体"/>
          <w:color w:val="auto"/>
          <w:kern w:val="2"/>
          <w:sz w:val="24"/>
          <w:szCs w:val="24"/>
          <w:highlight w:val="none"/>
          <w:lang w:val="en-US" w:eastAsia="zh-CN" w:bidi="ar-SA"/>
        </w:rPr>
        <w:t>）因采购人原因导致成交供应商未能按合同约定履行的，成交供应商可免于承担违约责任。</w:t>
      </w:r>
    </w:p>
    <w:bookmarkEnd w:id="46"/>
    <w:bookmarkEnd w:id="47"/>
    <w:p w14:paraId="532846DA">
      <w:pPr>
        <w:pStyle w:val="2"/>
        <w:spacing w:before="120" w:after="120" w:line="400" w:lineRule="exact"/>
        <w:jc w:val="center"/>
        <w:rPr>
          <w:rFonts w:hint="eastAsia"/>
          <w:highlight w:val="none"/>
        </w:rPr>
      </w:pPr>
      <w:bookmarkStart w:id="64" w:name="_Toc1683"/>
      <w:bookmarkStart w:id="65" w:name="_Toc18685"/>
      <w:bookmarkStart w:id="66" w:name="_Toc25197"/>
      <w:r>
        <w:rPr>
          <w:rFonts w:hint="eastAsia"/>
          <w:highlight w:val="none"/>
        </w:rPr>
        <w:t>第</w:t>
      </w:r>
      <w:r>
        <w:rPr>
          <w:rFonts w:hint="eastAsia"/>
          <w:highlight w:val="none"/>
          <w:lang w:eastAsia="zh-CN"/>
        </w:rPr>
        <w:t>四</w:t>
      </w:r>
      <w:r>
        <w:rPr>
          <w:rFonts w:hint="eastAsia"/>
          <w:highlight w:val="none"/>
        </w:rPr>
        <w:t xml:space="preserve">部分    </w:t>
      </w:r>
      <w:r>
        <w:rPr>
          <w:rFonts w:hint="eastAsia"/>
          <w:highlight w:val="none"/>
          <w:lang w:eastAsia="zh-CN"/>
        </w:rPr>
        <w:t>报价</w:t>
      </w:r>
      <w:r>
        <w:rPr>
          <w:rFonts w:hint="eastAsia"/>
          <w:highlight w:val="none"/>
        </w:rPr>
        <w:t>文件格式</w:t>
      </w:r>
      <w:bookmarkEnd w:id="64"/>
      <w:bookmarkEnd w:id="65"/>
      <w:bookmarkEnd w:id="66"/>
    </w:p>
    <w:p w14:paraId="075502ED">
      <w:pPr>
        <w:spacing w:line="360" w:lineRule="auto"/>
        <w:rPr>
          <w:rFonts w:hint="eastAsia" w:ascii="宋体" w:hAnsi="宋体"/>
          <w:b/>
          <w:color w:val="auto"/>
          <w:sz w:val="28"/>
          <w:szCs w:val="28"/>
          <w:highlight w:val="none"/>
        </w:rPr>
      </w:pPr>
    </w:p>
    <w:p w14:paraId="48AB5F08">
      <w:pPr>
        <w:spacing w:line="360" w:lineRule="auto"/>
        <w:jc w:val="center"/>
        <w:rPr>
          <w:rFonts w:hint="eastAsia" w:ascii="宋体" w:hAnsi="宋体"/>
          <w:b/>
          <w:color w:val="auto"/>
          <w:sz w:val="72"/>
          <w:highlight w:val="none"/>
        </w:rPr>
      </w:pPr>
    </w:p>
    <w:p w14:paraId="6B0BCDB2">
      <w:pPr>
        <w:bidi w:val="0"/>
        <w:jc w:val="center"/>
        <w:rPr>
          <w:rFonts w:hint="eastAsia"/>
          <w:b/>
          <w:bCs/>
          <w:sz w:val="84"/>
          <w:szCs w:val="84"/>
          <w:highlight w:val="none"/>
        </w:rPr>
      </w:pPr>
      <w:r>
        <w:rPr>
          <w:rFonts w:hint="eastAsia"/>
          <w:b/>
          <w:bCs/>
          <w:sz w:val="84"/>
          <w:szCs w:val="84"/>
          <w:highlight w:val="none"/>
        </w:rPr>
        <w:t>报价响应文件</w:t>
      </w:r>
    </w:p>
    <w:p w14:paraId="6545C312">
      <w:pPr>
        <w:spacing w:line="360" w:lineRule="auto"/>
        <w:jc w:val="center"/>
        <w:outlineLvl w:val="9"/>
        <w:rPr>
          <w:rFonts w:hint="eastAsia" w:ascii="宋体" w:hAnsi="宋体"/>
          <w:b/>
          <w:color w:val="auto"/>
          <w:sz w:val="36"/>
          <w:highlight w:val="none"/>
        </w:rPr>
      </w:pPr>
    </w:p>
    <w:p w14:paraId="0EF23AA8">
      <w:pPr>
        <w:spacing w:line="360" w:lineRule="auto"/>
        <w:jc w:val="center"/>
        <w:outlineLvl w:val="9"/>
        <w:rPr>
          <w:rFonts w:hint="eastAsia" w:ascii="宋体" w:hAnsi="宋体"/>
          <w:b/>
          <w:color w:val="auto"/>
          <w:sz w:val="36"/>
          <w:highlight w:val="none"/>
        </w:rPr>
      </w:pPr>
    </w:p>
    <w:p w14:paraId="06850986">
      <w:pPr>
        <w:spacing w:line="360" w:lineRule="auto"/>
        <w:jc w:val="center"/>
        <w:outlineLvl w:val="9"/>
        <w:rPr>
          <w:rFonts w:hint="eastAsia" w:ascii="宋体" w:hAnsi="宋体"/>
          <w:b/>
          <w:color w:val="auto"/>
          <w:sz w:val="36"/>
          <w:highlight w:val="none"/>
        </w:rPr>
      </w:pPr>
    </w:p>
    <w:p w14:paraId="6A4C28AA">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3CE3D5B4">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4AD9E19C">
      <w:pPr>
        <w:spacing w:line="360" w:lineRule="auto"/>
        <w:outlineLvl w:val="9"/>
        <w:rPr>
          <w:rFonts w:hint="eastAsia" w:ascii="宋体" w:hAnsi="宋体"/>
          <w:color w:val="auto"/>
          <w:sz w:val="28"/>
          <w:szCs w:val="28"/>
          <w:highlight w:val="none"/>
        </w:rPr>
      </w:pPr>
    </w:p>
    <w:p w14:paraId="40C7A387">
      <w:pPr>
        <w:pStyle w:val="14"/>
        <w:rPr>
          <w:rFonts w:hint="eastAsia"/>
          <w:color w:val="auto"/>
          <w:highlight w:val="none"/>
        </w:rPr>
      </w:pPr>
    </w:p>
    <w:p w14:paraId="1BCA8FF8">
      <w:pPr>
        <w:spacing w:line="360" w:lineRule="auto"/>
        <w:rPr>
          <w:rFonts w:hint="eastAsia" w:ascii="宋体" w:hAnsi="宋体"/>
          <w:b/>
          <w:color w:val="auto"/>
          <w:sz w:val="36"/>
          <w:highlight w:val="none"/>
        </w:rPr>
      </w:pPr>
    </w:p>
    <w:p w14:paraId="5E01750F">
      <w:pPr>
        <w:pStyle w:val="14"/>
        <w:rPr>
          <w:rFonts w:hint="eastAsia"/>
          <w:color w:val="auto"/>
          <w:highlight w:val="none"/>
        </w:rPr>
      </w:pPr>
    </w:p>
    <w:p w14:paraId="69C1F936">
      <w:pPr>
        <w:spacing w:line="360" w:lineRule="auto"/>
        <w:outlineLvl w:val="9"/>
        <w:rPr>
          <w:rFonts w:hint="eastAsia" w:ascii="宋体" w:hAnsi="宋体"/>
          <w:b/>
          <w:color w:val="auto"/>
          <w:sz w:val="36"/>
          <w:highlight w:val="none"/>
        </w:rPr>
      </w:pPr>
    </w:p>
    <w:p w14:paraId="1686F6C0">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47C07C30">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4600216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3D816E6B">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8A83212">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6A7BB6A3">
      <w:pPr>
        <w:pStyle w:val="14"/>
        <w:rPr>
          <w:rFonts w:hint="eastAsia"/>
          <w:color w:val="auto"/>
          <w:highlight w:val="none"/>
        </w:rPr>
      </w:pPr>
    </w:p>
    <w:p w14:paraId="756D13F7">
      <w:pPr>
        <w:rPr>
          <w:rFonts w:hint="eastAsia"/>
          <w:color w:val="auto"/>
          <w:highlight w:val="none"/>
        </w:rPr>
      </w:pPr>
    </w:p>
    <w:p w14:paraId="66F0612C">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AEE3065">
      <w:pPr>
        <w:pStyle w:val="3"/>
        <w:bidi w:val="0"/>
        <w:outlineLvl w:val="0"/>
        <w:rPr>
          <w:rFonts w:hint="eastAsia" w:ascii="Arial" w:hAnsi="Arial" w:eastAsia="宋体"/>
          <w:highlight w:val="none"/>
        </w:rPr>
      </w:pPr>
      <w:bookmarkStart w:id="67" w:name="_Toc12112"/>
      <w:bookmarkStart w:id="68" w:name="_Toc29646"/>
      <w:bookmarkStart w:id="69" w:name="_Toc23202"/>
      <w:bookmarkStart w:id="70" w:name="_Toc14215"/>
      <w:bookmarkStart w:id="71" w:name="_Toc373141305"/>
      <w:bookmarkStart w:id="72" w:name="_Toc393727156"/>
      <w:bookmarkStart w:id="73" w:name="_Toc372013039"/>
      <w:bookmarkStart w:id="74" w:name="_Toc432513145"/>
      <w:bookmarkStart w:id="75" w:name="_Toc502907889"/>
      <w:bookmarkStart w:id="76" w:name="_Toc1606"/>
      <w:r>
        <w:rPr>
          <w:rFonts w:hint="eastAsia" w:ascii="Arial" w:hAnsi="Arial" w:eastAsia="宋体"/>
          <w:highlight w:val="none"/>
        </w:rPr>
        <w:t xml:space="preserve">格式1           </w:t>
      </w:r>
      <w:r>
        <w:rPr>
          <w:rFonts w:hint="eastAsia" w:ascii="Arial" w:hAnsi="Arial" w:eastAsia="宋体"/>
          <w:highlight w:val="none"/>
          <w:lang w:val="en-US" w:eastAsia="zh-CN"/>
        </w:rPr>
        <w:t xml:space="preserve">          </w:t>
      </w:r>
      <w:r>
        <w:rPr>
          <w:rFonts w:hint="eastAsia" w:ascii="Arial" w:hAnsi="Arial" w:eastAsia="宋体"/>
          <w:highlight w:val="none"/>
        </w:rPr>
        <w:t xml:space="preserve">  报   价  书</w:t>
      </w:r>
      <w:bookmarkEnd w:id="67"/>
      <w:bookmarkEnd w:id="68"/>
      <w:bookmarkEnd w:id="69"/>
      <w:bookmarkEnd w:id="70"/>
    </w:p>
    <w:p w14:paraId="298EF790">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39E576F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5E97C0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                          (采购编号、项目名称) 项目招标采购货物及服务的报价邀请，报价代表                   (全名、职务)经正式授权并代表报价供应商                   (报价供应商全称、地址)提交以下文件正本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w:t>
      </w:r>
    </w:p>
    <w:p w14:paraId="695B5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7D6976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3248AD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088AAB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6E3F3F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49693F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据此函，报价供应商同意遵守如下条款：</w:t>
      </w:r>
    </w:p>
    <w:p w14:paraId="5B11FB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eastAsia="宋体" w:cs="宋体"/>
          <w:color w:val="auto"/>
          <w:sz w:val="24"/>
          <w:szCs w:val="24"/>
          <w:highlight w:val="none"/>
          <w:lang w:eastAsia="zh-CN"/>
        </w:rPr>
        <w:t>，报价为人民币</w:t>
      </w:r>
      <w:r>
        <w:rPr>
          <w:rFonts w:hint="eastAsia" w:ascii="宋体" w:hAnsi="宋体" w:eastAsia="宋体" w:cs="宋体"/>
          <w:color w:val="auto"/>
          <w:sz w:val="24"/>
          <w:szCs w:val="24"/>
          <w:highlight w:val="none"/>
        </w:rPr>
        <w:t>　　　　　　。</w:t>
      </w:r>
    </w:p>
    <w:p w14:paraId="044B2E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309FB0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4E60DF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7FC6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628078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6、报价供应商同意提供按照采购代理机构可能要求的与其报价有关的一切数据或资料，完全理解采购代理机构不一定要接受最低价的报价或逾期收到的任何报价。</w:t>
      </w:r>
    </w:p>
    <w:p w14:paraId="5ED539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7、与本报价有关的一切正式往来通讯请寄：</w:t>
      </w:r>
    </w:p>
    <w:p w14:paraId="7AB456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邮编：             </w:t>
      </w:r>
    </w:p>
    <w:p w14:paraId="73930B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传真：             </w:t>
      </w:r>
    </w:p>
    <w:p w14:paraId="2C16A9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报价代表姓名、职务(印刷体)：                         </w:t>
      </w:r>
    </w:p>
    <w:p w14:paraId="2CA04B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报价代表签字：                 </w:t>
      </w:r>
    </w:p>
    <w:p w14:paraId="46B552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报价供应商全称（加盖公章）：                          </w:t>
      </w:r>
    </w:p>
    <w:p w14:paraId="33276D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p>
    <w:p w14:paraId="368FA052">
      <w:pPr>
        <w:pStyle w:val="23"/>
        <w:rPr>
          <w:rFonts w:hint="eastAsia"/>
          <w:highlight w:val="none"/>
        </w:rPr>
      </w:pPr>
    </w:p>
    <w:bookmarkEnd w:id="71"/>
    <w:bookmarkEnd w:id="72"/>
    <w:bookmarkEnd w:id="73"/>
    <w:bookmarkEnd w:id="74"/>
    <w:bookmarkEnd w:id="75"/>
    <w:bookmarkEnd w:id="76"/>
    <w:p w14:paraId="16FA4B59">
      <w:pPr>
        <w:pStyle w:val="3"/>
        <w:bidi w:val="0"/>
        <w:outlineLvl w:val="0"/>
        <w:rPr>
          <w:rFonts w:hint="eastAsia"/>
          <w:highlight w:val="none"/>
        </w:rPr>
      </w:pPr>
      <w:bookmarkStart w:id="77" w:name="_Toc20632"/>
      <w:bookmarkStart w:id="78" w:name="_Toc4358"/>
      <w:bookmarkStart w:id="79" w:name="_Toc20566"/>
      <w:bookmarkStart w:id="80" w:name="_Toc26916"/>
      <w:r>
        <w:rPr>
          <w:rFonts w:hint="eastAsia"/>
          <w:highlight w:val="none"/>
        </w:rPr>
        <w:t xml:space="preserve">格式2           </w:t>
      </w:r>
      <w:r>
        <w:rPr>
          <w:rFonts w:hint="eastAsia"/>
          <w:highlight w:val="none"/>
          <w:lang w:val="en-US" w:eastAsia="zh-CN"/>
        </w:rPr>
        <w:t xml:space="preserve">          </w:t>
      </w:r>
      <w:r>
        <w:rPr>
          <w:rFonts w:hint="eastAsia"/>
          <w:highlight w:val="none"/>
        </w:rPr>
        <w:t xml:space="preserve">  报价一览表</w:t>
      </w:r>
      <w:bookmarkEnd w:id="77"/>
      <w:bookmarkEnd w:id="78"/>
      <w:bookmarkEnd w:id="79"/>
      <w:bookmarkEnd w:id="80"/>
    </w:p>
    <w:p w14:paraId="40C974AA">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181BE884">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F034C5E">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6DE6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5B28EA8">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CB4C5A4">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6F3557B">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2A97666">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7C9D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877B985">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2D8D923B">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026D900C">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799E1C9">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BA2149D">
      <w:pPr>
        <w:pStyle w:val="23"/>
        <w:rPr>
          <w:rFonts w:hint="eastAsia" w:ascii="宋体" w:hAnsi="宋体" w:eastAsia="宋体" w:cs="宋体"/>
          <w:color w:val="auto"/>
          <w:sz w:val="24"/>
          <w:szCs w:val="24"/>
          <w:highlight w:val="none"/>
          <w:u w:val="single"/>
        </w:rPr>
      </w:pPr>
    </w:p>
    <w:p w14:paraId="2BC23B61">
      <w:pPr>
        <w:pStyle w:val="23"/>
        <w:rPr>
          <w:rFonts w:hint="eastAsia" w:ascii="宋体" w:hAnsi="宋体" w:eastAsia="宋体" w:cs="宋体"/>
          <w:color w:val="auto"/>
          <w:sz w:val="24"/>
          <w:szCs w:val="24"/>
          <w:highlight w:val="none"/>
          <w:u w:val="single"/>
        </w:rPr>
      </w:pPr>
    </w:p>
    <w:p w14:paraId="7E8021F9">
      <w:pPr>
        <w:pStyle w:val="23"/>
        <w:rPr>
          <w:rFonts w:hint="eastAsia" w:ascii="宋体" w:hAnsi="宋体" w:eastAsia="宋体" w:cs="宋体"/>
          <w:color w:val="auto"/>
          <w:sz w:val="24"/>
          <w:szCs w:val="24"/>
          <w:highlight w:val="none"/>
          <w:u w:val="single"/>
        </w:rPr>
      </w:pPr>
    </w:p>
    <w:p w14:paraId="10AE6F72">
      <w:pPr>
        <w:pStyle w:val="23"/>
        <w:rPr>
          <w:rFonts w:hint="eastAsia" w:ascii="宋体" w:hAnsi="宋体" w:eastAsia="宋体" w:cs="宋体"/>
          <w:color w:val="auto"/>
          <w:sz w:val="24"/>
          <w:szCs w:val="24"/>
          <w:highlight w:val="none"/>
          <w:u w:val="single"/>
        </w:rPr>
      </w:pPr>
    </w:p>
    <w:p w14:paraId="133B9CC0">
      <w:pPr>
        <w:pStyle w:val="23"/>
        <w:rPr>
          <w:rFonts w:hint="eastAsia" w:ascii="宋体" w:hAnsi="宋体" w:eastAsia="宋体" w:cs="宋体"/>
          <w:color w:val="auto"/>
          <w:sz w:val="24"/>
          <w:szCs w:val="24"/>
          <w:highlight w:val="none"/>
          <w:u w:val="single"/>
        </w:rPr>
      </w:pPr>
    </w:p>
    <w:p w14:paraId="353CE901">
      <w:pPr>
        <w:spacing w:line="360" w:lineRule="auto"/>
        <w:ind w:firstLine="2400" w:firstLineChars="1000"/>
        <w:rPr>
          <w:rFonts w:hint="eastAsia" w:ascii="宋体" w:hAnsi="宋体" w:eastAsia="宋体" w:cs="宋体"/>
          <w:color w:val="auto"/>
          <w:sz w:val="24"/>
          <w:szCs w:val="24"/>
          <w:highlight w:val="none"/>
        </w:rPr>
      </w:pPr>
    </w:p>
    <w:p w14:paraId="063383A4">
      <w:pPr>
        <w:spacing w:line="360" w:lineRule="auto"/>
        <w:ind w:firstLine="2400" w:firstLineChars="1000"/>
        <w:rPr>
          <w:rFonts w:hint="eastAsia" w:ascii="宋体" w:hAnsi="宋体" w:eastAsia="宋体" w:cs="宋体"/>
          <w:color w:val="auto"/>
          <w:sz w:val="24"/>
          <w:szCs w:val="24"/>
          <w:highlight w:val="none"/>
        </w:rPr>
      </w:pPr>
    </w:p>
    <w:p w14:paraId="060D220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E724E8E">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D333ED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BCA7EC0">
      <w:pPr>
        <w:pStyle w:val="3"/>
        <w:bidi w:val="0"/>
        <w:outlineLvl w:val="0"/>
        <w:rPr>
          <w:rFonts w:hint="eastAsia" w:ascii="Arial" w:hAnsi="Arial" w:eastAsia="宋体"/>
          <w:highlight w:val="none"/>
        </w:rPr>
      </w:pPr>
      <w:bookmarkStart w:id="81" w:name="_Toc477899480"/>
      <w:bookmarkStart w:id="82" w:name="_Toc20275"/>
      <w:bookmarkStart w:id="83" w:name="_Toc7138"/>
      <w:r>
        <w:rPr>
          <w:rFonts w:hint="eastAsia" w:ascii="Arial" w:hAnsi="Arial" w:eastAsia="宋体"/>
          <w:highlight w:val="none"/>
        </w:rPr>
        <w:t>格式</w:t>
      </w:r>
      <w:r>
        <w:rPr>
          <w:rFonts w:hint="eastAsia" w:ascii="Arial" w:hAnsi="Arial" w:eastAsia="宋体"/>
          <w:highlight w:val="none"/>
          <w:lang w:val="en-US" w:eastAsia="zh-CN"/>
        </w:rPr>
        <w:t>3</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ascii="Arial" w:hAnsi="Arial" w:eastAsia="宋体"/>
          <w:highlight w:val="none"/>
        </w:rPr>
        <w:t>分项报价明细表</w:t>
      </w:r>
      <w:bookmarkEnd w:id="81"/>
      <w:bookmarkEnd w:id="82"/>
      <w:bookmarkEnd w:id="83"/>
    </w:p>
    <w:p w14:paraId="74A89D0C">
      <w:pPr>
        <w:spacing w:line="400" w:lineRule="exact"/>
        <w:rPr>
          <w:rFonts w:hint="eastAsia" w:ascii="黑体" w:hAnsi="Arial" w:eastAsia="黑体"/>
          <w:b/>
          <w:color w:val="auto"/>
          <w:sz w:val="24"/>
          <w:highlight w:val="none"/>
        </w:rPr>
      </w:pPr>
    </w:p>
    <w:p w14:paraId="671B3EDD">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7008D4D">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5EFC328">
      <w:pPr>
        <w:spacing w:line="400" w:lineRule="exact"/>
        <w:rPr>
          <w:rFonts w:hint="eastAsia" w:ascii="Arial" w:hAnsi="Arial"/>
          <w:color w:val="auto"/>
          <w:szCs w:val="21"/>
          <w:highlight w:val="none"/>
        </w:rPr>
      </w:pPr>
    </w:p>
    <w:p w14:paraId="70668FBD">
      <w:pPr>
        <w:pStyle w:val="23"/>
        <w:rPr>
          <w:rFonts w:hint="eastAsia" w:ascii="Arial" w:hAnsi="Arial"/>
          <w:color w:val="auto"/>
          <w:szCs w:val="21"/>
          <w:highlight w:val="none"/>
        </w:rPr>
      </w:pPr>
    </w:p>
    <w:p w14:paraId="577CAA5F">
      <w:pPr>
        <w:pStyle w:val="23"/>
        <w:rPr>
          <w:rFonts w:hint="eastAsia" w:ascii="Arial" w:hAnsi="Arial"/>
          <w:color w:val="auto"/>
          <w:szCs w:val="21"/>
          <w:highlight w:val="none"/>
        </w:rPr>
      </w:pPr>
    </w:p>
    <w:p w14:paraId="6677E3C1">
      <w:pPr>
        <w:bidi w:val="0"/>
        <w:jc w:val="center"/>
        <w:rPr>
          <w:rFonts w:hint="default"/>
          <w:sz w:val="32"/>
          <w:szCs w:val="32"/>
          <w:highlight w:val="none"/>
          <w:lang w:val="en-US" w:eastAsia="zh-CN"/>
        </w:rPr>
      </w:pPr>
      <w:r>
        <w:rPr>
          <w:rFonts w:hint="eastAsia"/>
          <w:sz w:val="32"/>
          <w:szCs w:val="32"/>
          <w:highlight w:val="none"/>
          <w:lang w:val="en-US" w:eastAsia="zh-CN"/>
        </w:rPr>
        <w:t>格式自拟定</w:t>
      </w:r>
    </w:p>
    <w:p w14:paraId="0FD6BE87">
      <w:pPr>
        <w:spacing w:line="400" w:lineRule="exact"/>
        <w:rPr>
          <w:rFonts w:hint="eastAsia" w:ascii="Arial" w:hAnsi="Arial"/>
          <w:color w:val="auto"/>
          <w:szCs w:val="21"/>
          <w:highlight w:val="none"/>
        </w:rPr>
      </w:pPr>
    </w:p>
    <w:p w14:paraId="55AB9F6C">
      <w:pPr>
        <w:pStyle w:val="23"/>
        <w:rPr>
          <w:rFonts w:hint="eastAsia" w:ascii="Arial" w:hAnsi="Arial"/>
          <w:color w:val="auto"/>
          <w:szCs w:val="21"/>
          <w:highlight w:val="none"/>
        </w:rPr>
      </w:pPr>
    </w:p>
    <w:p w14:paraId="3D02CD6B">
      <w:pPr>
        <w:pStyle w:val="23"/>
        <w:rPr>
          <w:rFonts w:hint="eastAsia" w:ascii="Arial" w:hAnsi="Arial"/>
          <w:color w:val="auto"/>
          <w:szCs w:val="21"/>
          <w:highlight w:val="none"/>
        </w:rPr>
      </w:pPr>
    </w:p>
    <w:p w14:paraId="0B6858CC">
      <w:pPr>
        <w:pStyle w:val="23"/>
        <w:rPr>
          <w:rFonts w:hint="eastAsia" w:ascii="Arial" w:hAnsi="Arial"/>
          <w:color w:val="auto"/>
          <w:szCs w:val="21"/>
          <w:highlight w:val="none"/>
        </w:rPr>
      </w:pPr>
    </w:p>
    <w:p w14:paraId="3F1C717F">
      <w:pPr>
        <w:spacing w:line="400" w:lineRule="exact"/>
        <w:rPr>
          <w:rFonts w:hint="eastAsia" w:ascii="宋体" w:hAnsi="宋体"/>
          <w:b/>
          <w:color w:val="auto"/>
          <w:szCs w:val="21"/>
          <w:highlight w:val="none"/>
        </w:rPr>
      </w:pPr>
    </w:p>
    <w:p w14:paraId="2805FB33">
      <w:pPr>
        <w:spacing w:line="400" w:lineRule="exact"/>
        <w:rPr>
          <w:rFonts w:hint="eastAsia" w:ascii="宋体" w:hAnsi="宋体"/>
          <w:color w:val="auto"/>
          <w:szCs w:val="21"/>
          <w:highlight w:val="none"/>
        </w:rPr>
      </w:pPr>
    </w:p>
    <w:p w14:paraId="7222558D">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6CE287C">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3E216FF">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E65A4F7">
      <w:pPr>
        <w:pStyle w:val="3"/>
        <w:bidi w:val="0"/>
        <w:outlineLvl w:val="0"/>
        <w:rPr>
          <w:rFonts w:hint="eastAsia" w:ascii="Arial" w:hAnsi="Arial" w:eastAsia="宋体"/>
          <w:highlight w:val="none"/>
        </w:rPr>
      </w:pPr>
      <w:bookmarkStart w:id="84" w:name="_Toc20061"/>
      <w:bookmarkStart w:id="85" w:name="_Toc24019"/>
      <w:bookmarkStart w:id="86" w:name="_Toc102"/>
      <w:bookmarkStart w:id="87" w:name="_Toc29026"/>
      <w:bookmarkStart w:id="88" w:name="_Toc432513149"/>
      <w:bookmarkStart w:id="89" w:name="_Toc502907895"/>
      <w:bookmarkStart w:id="90" w:name="_Toc393727163"/>
      <w:bookmarkStart w:id="91" w:name="_Toc373141312"/>
      <w:bookmarkStart w:id="92" w:name="_Toc23010"/>
      <w:bookmarkStart w:id="93" w:name="_Toc145132116"/>
      <w:bookmarkStart w:id="94" w:name="_Toc372013046"/>
      <w:r>
        <w:rPr>
          <w:rFonts w:hint="eastAsia" w:ascii="Arial" w:hAnsi="Arial" w:eastAsia="宋体"/>
          <w:highlight w:val="none"/>
        </w:rPr>
        <w:t>格式</w:t>
      </w:r>
      <w:r>
        <w:rPr>
          <w:rFonts w:hint="eastAsia" w:ascii="Arial" w:hAnsi="Arial" w:eastAsia="宋体"/>
          <w:highlight w:val="none"/>
          <w:lang w:val="en-US" w:eastAsia="zh-CN"/>
        </w:rPr>
        <w:t>4</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highlight w:val="none"/>
          <w:lang w:val="en-US" w:eastAsia="zh-CN"/>
        </w:rPr>
        <w:t>资格</w:t>
      </w:r>
      <w:r>
        <w:rPr>
          <w:rFonts w:hint="eastAsia" w:ascii="Arial" w:hAnsi="Arial" w:eastAsia="宋体"/>
          <w:highlight w:val="none"/>
        </w:rPr>
        <w:t>声明函</w:t>
      </w:r>
      <w:bookmarkEnd w:id="84"/>
      <w:bookmarkEnd w:id="85"/>
      <w:bookmarkEnd w:id="86"/>
      <w:bookmarkEnd w:id="87"/>
    </w:p>
    <w:p w14:paraId="5F411CCF">
      <w:pPr>
        <w:spacing w:line="440" w:lineRule="exact"/>
        <w:ind w:firstLine="2940" w:firstLineChars="1046"/>
        <w:jc w:val="left"/>
        <w:rPr>
          <w:rFonts w:hint="eastAsia" w:ascii="宋体" w:hAnsi="宋体" w:eastAsia="宋体" w:cs="宋体"/>
          <w:b/>
          <w:color w:val="auto"/>
          <w:sz w:val="28"/>
          <w:szCs w:val="28"/>
          <w:highlight w:val="none"/>
        </w:rPr>
      </w:pPr>
    </w:p>
    <w:p w14:paraId="7626146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6A678F79">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9ED06E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33BACD2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BF60F1A">
      <w:pPr>
        <w:spacing w:line="360" w:lineRule="auto"/>
        <w:ind w:firstLine="480" w:firstLineChars="200"/>
        <w:rPr>
          <w:rFonts w:hint="eastAsia" w:ascii="宋体" w:hAnsi="宋体" w:eastAsia="宋体" w:cs="宋体"/>
          <w:color w:val="auto"/>
          <w:sz w:val="24"/>
          <w:szCs w:val="24"/>
          <w:highlight w:val="none"/>
        </w:rPr>
      </w:pPr>
    </w:p>
    <w:p w14:paraId="7BD5D3D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5C78E146">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562D32D2">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B198E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45A4ED3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F003F3C">
      <w:pPr>
        <w:pStyle w:val="14"/>
        <w:rPr>
          <w:rFonts w:hint="eastAsia"/>
          <w:color w:val="auto"/>
          <w:highlight w:val="none"/>
        </w:rPr>
      </w:pPr>
    </w:p>
    <w:p w14:paraId="7BAC821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21B8653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257CB1A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77146C2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30466BD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5EF37D8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DFDA116">
      <w:pPr>
        <w:spacing w:line="440" w:lineRule="exact"/>
        <w:outlineLvl w:val="9"/>
        <w:rPr>
          <w:rFonts w:hint="eastAsia" w:ascii="宋体" w:hAnsi="宋体" w:eastAsia="宋体" w:cs="宋体"/>
          <w:b/>
          <w:color w:val="auto"/>
          <w:sz w:val="28"/>
          <w:szCs w:val="28"/>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bookmarkEnd w:id="88"/>
      <w:bookmarkEnd w:id="89"/>
      <w:bookmarkEnd w:id="90"/>
      <w:bookmarkEnd w:id="91"/>
      <w:bookmarkEnd w:id="92"/>
      <w:bookmarkEnd w:id="93"/>
      <w:bookmarkEnd w:id="94"/>
    </w:p>
    <w:p w14:paraId="5C24D888">
      <w:pPr>
        <w:pStyle w:val="3"/>
        <w:bidi w:val="0"/>
        <w:outlineLvl w:val="0"/>
        <w:rPr>
          <w:rFonts w:hint="eastAsia" w:ascii="Arial" w:hAnsi="Arial" w:eastAsia="宋体"/>
          <w:highlight w:val="none"/>
        </w:rPr>
      </w:pPr>
      <w:bookmarkStart w:id="95" w:name="_Toc19101"/>
      <w:bookmarkStart w:id="96" w:name="_Toc13141"/>
      <w:bookmarkStart w:id="97" w:name="_Toc4657"/>
      <w:bookmarkStart w:id="98" w:name="_Toc15327"/>
      <w:r>
        <w:rPr>
          <w:rFonts w:hint="eastAsia" w:ascii="Arial" w:hAnsi="Arial" w:eastAsia="宋体"/>
          <w:highlight w:val="none"/>
        </w:rPr>
        <w:t>格式</w:t>
      </w:r>
      <w:r>
        <w:rPr>
          <w:rFonts w:hint="eastAsia" w:ascii="Arial" w:hAnsi="Arial" w:eastAsia="宋体"/>
          <w:highlight w:val="none"/>
          <w:lang w:val="en-US" w:eastAsia="zh-CN"/>
        </w:rPr>
        <w:t>5</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ascii="Arial" w:hAnsi="Arial" w:eastAsia="宋体"/>
          <w:highlight w:val="none"/>
        </w:rPr>
        <w:t>法定代表人授权书(原件)</w:t>
      </w:r>
      <w:bookmarkEnd w:id="95"/>
      <w:bookmarkEnd w:id="96"/>
      <w:bookmarkEnd w:id="97"/>
      <w:bookmarkEnd w:id="98"/>
    </w:p>
    <w:p w14:paraId="4BE962FE">
      <w:pPr>
        <w:spacing w:line="440" w:lineRule="exact"/>
        <w:rPr>
          <w:rFonts w:hint="eastAsia" w:ascii="宋体" w:hAnsi="宋体" w:eastAsia="宋体" w:cs="宋体"/>
          <w:b/>
          <w:color w:val="auto"/>
          <w:sz w:val="28"/>
          <w:szCs w:val="28"/>
          <w:highlight w:val="none"/>
        </w:rPr>
      </w:pPr>
    </w:p>
    <w:p w14:paraId="6FA6921E">
      <w:pPr>
        <w:spacing w:line="440" w:lineRule="exact"/>
        <w:rPr>
          <w:rFonts w:hint="eastAsia" w:ascii="宋体" w:hAnsi="宋体" w:eastAsia="宋体" w:cs="宋体"/>
          <w:b/>
          <w:color w:val="auto"/>
          <w:sz w:val="28"/>
          <w:szCs w:val="28"/>
          <w:highlight w:val="none"/>
        </w:rPr>
      </w:pPr>
    </w:p>
    <w:p w14:paraId="34BBDF64">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6DED89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786060BB">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B632620">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4A53275">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359318FA">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2070814C">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2ACF7FD9">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1F0EFB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7CFEA9EB">
      <w:pPr>
        <w:spacing w:line="360" w:lineRule="auto"/>
        <w:rPr>
          <w:rFonts w:hint="eastAsia" w:ascii="宋体" w:hAnsi="宋体" w:eastAsia="宋体" w:cs="宋体"/>
          <w:b/>
          <w:color w:val="auto"/>
          <w:sz w:val="24"/>
          <w:szCs w:val="24"/>
          <w:highlight w:val="none"/>
        </w:rPr>
      </w:pPr>
    </w:p>
    <w:p w14:paraId="08AA5749">
      <w:pPr>
        <w:pStyle w:val="24"/>
        <w:spacing w:line="360" w:lineRule="auto"/>
        <w:ind w:right="560" w:firstLine="560"/>
        <w:jc w:val="center"/>
        <w:outlineLvl w:val="9"/>
        <w:rPr>
          <w:rFonts w:hint="eastAsia" w:ascii="宋体" w:hAnsi="宋体" w:eastAsia="宋体" w:cs="宋体"/>
          <w:color w:val="auto"/>
          <w:sz w:val="24"/>
          <w:szCs w:val="24"/>
          <w:highlight w:val="none"/>
        </w:rPr>
      </w:pPr>
    </w:p>
    <w:p w14:paraId="3C2E79EF">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681EDF22">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5920419">
      <w:pPr>
        <w:spacing w:line="440" w:lineRule="exact"/>
        <w:outlineLvl w:val="9"/>
        <w:rPr>
          <w:rFonts w:hint="eastAsia" w:ascii="宋体" w:hAnsi="宋体" w:eastAsia="宋体" w:cs="宋体"/>
          <w:b/>
          <w:color w:val="auto"/>
          <w:sz w:val="28"/>
          <w:szCs w:val="28"/>
          <w:highlight w:val="none"/>
        </w:rPr>
      </w:pPr>
    </w:p>
    <w:p w14:paraId="4D232A53">
      <w:pPr>
        <w:spacing w:line="440" w:lineRule="exact"/>
        <w:outlineLvl w:val="9"/>
        <w:rPr>
          <w:rFonts w:hint="eastAsia" w:ascii="宋体" w:hAnsi="宋体" w:eastAsia="宋体" w:cs="宋体"/>
          <w:b/>
          <w:color w:val="auto"/>
          <w:sz w:val="28"/>
          <w:szCs w:val="28"/>
          <w:highlight w:val="none"/>
        </w:rPr>
      </w:pPr>
    </w:p>
    <w:p w14:paraId="3911A545">
      <w:pPr>
        <w:bidi w:val="0"/>
        <w:jc w:val="center"/>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（请附上法人代表及</w:t>
      </w:r>
      <w:r>
        <w:rPr>
          <w:rFonts w:hint="eastAsia" w:ascii="黑体" w:hAnsi="黑体" w:eastAsia="黑体" w:cs="黑体"/>
          <w:b/>
          <w:bCs/>
          <w:sz w:val="28"/>
          <w:szCs w:val="28"/>
          <w:highlight w:val="none"/>
          <w:lang w:eastAsia="zh-CN"/>
        </w:rPr>
        <w:t>报价</w:t>
      </w:r>
      <w:r>
        <w:rPr>
          <w:rFonts w:hint="eastAsia" w:ascii="黑体" w:hAnsi="黑体" w:eastAsia="黑体" w:cs="黑体"/>
          <w:b/>
          <w:bCs/>
          <w:sz w:val="28"/>
          <w:szCs w:val="28"/>
          <w:highlight w:val="none"/>
        </w:rPr>
        <w:t>代表身份证双面复印件）</w:t>
      </w:r>
    </w:p>
    <w:p w14:paraId="141F0A16">
      <w:pPr>
        <w:spacing w:line="440" w:lineRule="exact"/>
        <w:rPr>
          <w:rFonts w:hint="eastAsia" w:ascii="宋体" w:hAnsi="宋体" w:eastAsia="宋体" w:cs="宋体"/>
          <w:b/>
          <w:color w:val="auto"/>
          <w:sz w:val="28"/>
          <w:szCs w:val="28"/>
          <w:highlight w:val="none"/>
          <w:lang w:eastAsia="zh-CN"/>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E25C911">
      <w:pPr>
        <w:pStyle w:val="23"/>
        <w:rPr>
          <w:color w:val="auto"/>
          <w:highlight w:val="none"/>
        </w:rPr>
      </w:pPr>
    </w:p>
    <w:p w14:paraId="03277AB6">
      <w:pPr>
        <w:pStyle w:val="3"/>
        <w:bidi w:val="0"/>
        <w:outlineLvl w:val="0"/>
        <w:rPr>
          <w:rFonts w:hint="eastAsia" w:ascii="Arial" w:hAnsi="Arial" w:eastAsia="宋体"/>
          <w:highlight w:val="none"/>
        </w:rPr>
      </w:pPr>
      <w:bookmarkStart w:id="99" w:name="_Toc26769"/>
      <w:r>
        <w:rPr>
          <w:rFonts w:hint="eastAsia" w:ascii="Arial" w:hAnsi="Arial" w:eastAsia="宋体"/>
          <w:highlight w:val="none"/>
        </w:rPr>
        <w:t>格式</w:t>
      </w:r>
      <w:r>
        <w:rPr>
          <w:rFonts w:hint="eastAsia" w:ascii="Arial" w:hAnsi="Arial" w:eastAsia="宋体"/>
          <w:highlight w:val="none"/>
          <w:lang w:val="en-US" w:eastAsia="zh-CN"/>
        </w:rPr>
        <w:t>6</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ascii="Arial" w:hAnsi="Arial" w:eastAsia="宋体"/>
          <w:highlight w:val="none"/>
        </w:rPr>
        <w:t>资格声明函</w:t>
      </w:r>
      <w:bookmarkEnd w:id="99"/>
    </w:p>
    <w:p w14:paraId="1578CA7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71B1B2C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2BC83233">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006F9217">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04F71683">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284E8AE2">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3A5B21DA">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11012F2">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DEC8C18">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909C6BD">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655874E">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9790005">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70EE6BE">
      <w:pPr>
        <w:pStyle w:val="23"/>
        <w:rPr>
          <w:rFonts w:hint="default" w:asciiTheme="minorEastAsia" w:hAnsiTheme="minorEastAsia" w:eastAsiaTheme="minorEastAsia" w:cstheme="minorEastAsia"/>
          <w:color w:val="FF0000"/>
          <w:sz w:val="24"/>
          <w:highlight w:val="none"/>
          <w:lang w:val="en-US" w:eastAsia="zh-CN"/>
        </w:rPr>
      </w:pPr>
    </w:p>
    <w:p w14:paraId="5C227295">
      <w:pPr>
        <w:pStyle w:val="23"/>
        <w:rPr>
          <w:rFonts w:hint="default" w:asciiTheme="minorEastAsia" w:hAnsiTheme="minorEastAsia" w:eastAsiaTheme="minorEastAsia" w:cstheme="minorEastAsia"/>
          <w:color w:val="FF0000"/>
          <w:sz w:val="24"/>
          <w:highlight w:val="none"/>
          <w:lang w:val="en-US" w:eastAsia="zh-CN"/>
        </w:rPr>
      </w:pPr>
    </w:p>
    <w:p w14:paraId="0CF2DCB9">
      <w:pPr>
        <w:pStyle w:val="3"/>
        <w:bidi w:val="0"/>
        <w:outlineLvl w:val="0"/>
        <w:rPr>
          <w:rFonts w:hint="default" w:ascii="Arial" w:hAnsi="Arial" w:eastAsia="宋体"/>
          <w:highlight w:val="none"/>
          <w:lang w:val="en-US" w:eastAsia="zh-CN"/>
        </w:rPr>
      </w:pPr>
      <w:bookmarkStart w:id="100" w:name="_Toc5839"/>
      <w:r>
        <w:rPr>
          <w:rFonts w:hint="eastAsia" w:ascii="Arial" w:hAnsi="Arial" w:eastAsia="宋体"/>
          <w:highlight w:val="none"/>
        </w:rPr>
        <w:t>格式</w:t>
      </w:r>
      <w:r>
        <w:rPr>
          <w:rFonts w:hint="eastAsia" w:ascii="Arial" w:hAnsi="Arial" w:eastAsia="宋体"/>
          <w:highlight w:val="none"/>
          <w:lang w:val="en-US" w:eastAsia="zh-CN"/>
        </w:rPr>
        <w:t>7</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ascii="Arial" w:hAnsi="Arial" w:eastAsia="宋体"/>
          <w:highlight w:val="none"/>
          <w:lang w:val="en-US" w:eastAsia="zh-CN"/>
        </w:rPr>
        <w:t>售后服务承诺</w:t>
      </w:r>
      <w:bookmarkEnd w:id="100"/>
      <w:r>
        <w:rPr>
          <w:rFonts w:hint="eastAsia" w:ascii="Arial" w:hAnsi="Arial" w:eastAsia="宋体"/>
          <w:highlight w:val="none"/>
          <w:lang w:val="en-US" w:eastAsia="zh-CN"/>
        </w:rPr>
        <w:t xml:space="preserve"> </w:t>
      </w:r>
    </w:p>
    <w:p w14:paraId="2F17E0E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54CB94C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7073AB9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0BD488D">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6521C88">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0FF26B4">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8430FAA">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5AF0E8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E9F489E">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E6278B2">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835FBDA">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D45825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4D99FBE">
      <w:pPr>
        <w:pStyle w:val="23"/>
        <w:rPr>
          <w:rFonts w:hint="default" w:asciiTheme="minorEastAsia" w:hAnsiTheme="minorEastAsia" w:eastAsiaTheme="minorEastAsia" w:cstheme="minorEastAsia"/>
          <w:color w:val="FF0000"/>
          <w:sz w:val="24"/>
          <w:highlight w:val="none"/>
          <w:lang w:val="en-US" w:eastAsia="zh-CN"/>
        </w:rPr>
      </w:pPr>
    </w:p>
    <w:p w14:paraId="5BA1E33F">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A9BD1A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24C51336">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4CB9847C">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9CD95">
    <w:pPr>
      <w:pStyle w:val="9"/>
      <w:framePr w:wrap="around" w:vAnchor="text" w:hAnchor="margin" w:xAlign="right" w:y="1"/>
      <w:rPr>
        <w:rStyle w:val="21"/>
      </w:rPr>
    </w:pPr>
    <w:r>
      <w:fldChar w:fldCharType="begin"/>
    </w:r>
    <w:r>
      <w:rPr>
        <w:rStyle w:val="21"/>
      </w:rPr>
      <w:instrText xml:space="preserve">PAGE  </w:instrText>
    </w:r>
    <w:r>
      <w:fldChar w:fldCharType="end"/>
    </w:r>
  </w:p>
  <w:p w14:paraId="30EF2172">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E84691A">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27B527C1">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47FE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8947FE7">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416FD">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E5416FD">
                          <w:pPr>
                            <w:pStyle w:val="9"/>
                          </w:pPr>
                        </w:p>
                      </w:txbxContent>
                    </v:textbox>
                  </v:shape>
                </w:pict>
              </mc:Fallback>
            </mc:AlternateContent>
          </w:r>
        </w:p>
      </w:tc>
    </w:tr>
  </w:tbl>
  <w:p w14:paraId="52C8B006">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4832">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2EBB7">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FD2EBB7">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4B281">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NzBmMTAxYTM2OGYzYmZkODUzNDg0NWUwNzI1MjAifQ=="/>
  </w:docVars>
  <w:rsids>
    <w:rsidRoot w:val="59835B2E"/>
    <w:rsid w:val="00233C91"/>
    <w:rsid w:val="034E4A21"/>
    <w:rsid w:val="03E4576F"/>
    <w:rsid w:val="076775B0"/>
    <w:rsid w:val="083B0126"/>
    <w:rsid w:val="0E8D13D6"/>
    <w:rsid w:val="0F44355D"/>
    <w:rsid w:val="115376E2"/>
    <w:rsid w:val="16F7028D"/>
    <w:rsid w:val="173A664E"/>
    <w:rsid w:val="180C246B"/>
    <w:rsid w:val="19232435"/>
    <w:rsid w:val="1C4B3D8B"/>
    <w:rsid w:val="1D974856"/>
    <w:rsid w:val="1DD464FF"/>
    <w:rsid w:val="1FA871F0"/>
    <w:rsid w:val="20B565A0"/>
    <w:rsid w:val="25D725DE"/>
    <w:rsid w:val="27DF4F47"/>
    <w:rsid w:val="299802D6"/>
    <w:rsid w:val="29AD768A"/>
    <w:rsid w:val="2BD94BFC"/>
    <w:rsid w:val="2CEB06B4"/>
    <w:rsid w:val="2EC67693"/>
    <w:rsid w:val="303C51B0"/>
    <w:rsid w:val="30EC4E63"/>
    <w:rsid w:val="32FB2F01"/>
    <w:rsid w:val="33C33694"/>
    <w:rsid w:val="3643461A"/>
    <w:rsid w:val="38641F41"/>
    <w:rsid w:val="39F45E88"/>
    <w:rsid w:val="3B1925BB"/>
    <w:rsid w:val="3B6C1D7D"/>
    <w:rsid w:val="3BCF7A72"/>
    <w:rsid w:val="3E002010"/>
    <w:rsid w:val="3F2E1764"/>
    <w:rsid w:val="3F896550"/>
    <w:rsid w:val="42B26367"/>
    <w:rsid w:val="43844FFB"/>
    <w:rsid w:val="451F1798"/>
    <w:rsid w:val="4C1307C4"/>
    <w:rsid w:val="4C65575F"/>
    <w:rsid w:val="4C9808FB"/>
    <w:rsid w:val="4E487C6D"/>
    <w:rsid w:val="4F123E7A"/>
    <w:rsid w:val="55794C66"/>
    <w:rsid w:val="55CD64D1"/>
    <w:rsid w:val="55D751F9"/>
    <w:rsid w:val="59835B2E"/>
    <w:rsid w:val="5A5E62B5"/>
    <w:rsid w:val="5AE34496"/>
    <w:rsid w:val="5B054C2B"/>
    <w:rsid w:val="5D654BBF"/>
    <w:rsid w:val="60597AB8"/>
    <w:rsid w:val="607C050A"/>
    <w:rsid w:val="62CF1E79"/>
    <w:rsid w:val="675B47A0"/>
    <w:rsid w:val="677F3E55"/>
    <w:rsid w:val="68735896"/>
    <w:rsid w:val="69690D6B"/>
    <w:rsid w:val="6B7D3D34"/>
    <w:rsid w:val="6C2E5427"/>
    <w:rsid w:val="6D3F5C0C"/>
    <w:rsid w:val="6E9A7D81"/>
    <w:rsid w:val="718F5027"/>
    <w:rsid w:val="726C6FA6"/>
    <w:rsid w:val="731E2BC7"/>
    <w:rsid w:val="736C78EA"/>
    <w:rsid w:val="73D2014D"/>
    <w:rsid w:val="780B365B"/>
    <w:rsid w:val="7A6B08E8"/>
    <w:rsid w:val="7AFE4400"/>
    <w:rsid w:val="7C5E5F96"/>
    <w:rsid w:val="7C835849"/>
    <w:rsid w:val="7CA02D78"/>
    <w:rsid w:val="7D082C72"/>
    <w:rsid w:val="7E591C3B"/>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autoRedefine/>
    <w:qFormat/>
    <w:uiPriority w:val="0"/>
    <w:pPr>
      <w:keepNext/>
      <w:keepLines/>
      <w:pageBreakBefore/>
      <w:spacing w:before="340" w:after="330" w:line="579" w:lineRule="auto"/>
      <w:jc w:val="center"/>
      <w:outlineLvl w:val="0"/>
    </w:pPr>
    <w:rPr>
      <w:rFonts w:ascii="Times New Roman" w:hAnsi="Times New Roman" w:eastAsia="宋体"/>
      <w:b/>
      <w:bCs/>
      <w:kern w:val="44"/>
      <w:sz w:val="36"/>
      <w:szCs w:val="44"/>
    </w:rPr>
  </w:style>
  <w:style w:type="paragraph" w:styleId="3">
    <w:name w:val="heading 2"/>
    <w:basedOn w:val="1"/>
    <w:next w:val="1"/>
    <w:autoRedefine/>
    <w:unhideWhenUsed/>
    <w:qFormat/>
    <w:uiPriority w:val="0"/>
    <w:pPr>
      <w:keepNext/>
      <w:keepLines/>
      <w:pageBreakBefore/>
      <w:spacing w:before="160" w:beforeLines="0" w:beforeAutospacing="0" w:after="160" w:afterLines="0" w:afterAutospacing="0" w:line="413" w:lineRule="auto"/>
      <w:jc w:val="left"/>
      <w:outlineLvl w:val="1"/>
    </w:pPr>
    <w:rPr>
      <w:rFonts w:ascii="Arial" w:hAnsi="Arial" w:eastAsia="宋体"/>
      <w:b/>
      <w:sz w:val="28"/>
    </w:rPr>
  </w:style>
  <w:style w:type="character" w:default="1" w:styleId="19">
    <w:name w:val="Default Paragraph Font"/>
    <w:autoRedefine/>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 w:type="character" w:customStyle="1" w:styleId="27">
    <w:name w:val="标题 1 Char"/>
    <w:link w:val="2"/>
    <w:autoRedefine/>
    <w:qFormat/>
    <w:uiPriority w:val="0"/>
    <w:rPr>
      <w:rFonts w:ascii="Times New Roman" w:hAnsi="Times New Roman" w:eastAsia="宋体"/>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6315</Words>
  <Characters>6471</Characters>
  <Lines>0</Lines>
  <Paragraphs>0</Paragraphs>
  <TotalTime>5</TotalTime>
  <ScaleCrop>false</ScaleCrop>
  <LinksUpToDate>false</LinksUpToDate>
  <CharactersWithSpaces>8032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夕梨1417422009</cp:lastModifiedBy>
  <cp:lastPrinted>2021-11-24T07:21:00Z</cp:lastPrinted>
  <dcterms:modified xsi:type="dcterms:W3CDTF">2024-10-11T07:59:23Z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CE002D974F8048469207D6CE512EF8C2_13</vt:lpwstr>
  </property>
</Properties>
</file>